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34.2021.20 vom 2. November 2021</w:t>
      </w:r>
    </w:p>
    <w:p>
      <w:r>
        <w:t>TI Tribunale d'appello, 2021-11-02, IT</w:t>
      </w:r>
    </w:p>
    <w:p>
      <w:r>
        <w:rPr>
          <w:b/>
        </w:rPr>
        <w:t xml:space="preserve">Quelle: </w:t>
      </w:r>
      <w:r>
        <w:t>https://mcp.opencaselaw.ch/entscheid/ti_gerichte_34.2021.20</w:t>
      </w:r>
    </w:p>
    <w:p>
      <w:r>
        <w:t>FR: TI_GERICHTE 34.2021.20 du 2 novembre 2021</w:t>
      </w:r>
    </w:p>
    <w:p>
      <w:r>
        <w:t>IT: TI_GERICHTE 34.2021.20 del 2 novembre 2021</w:t>
      </w:r>
    </w:p>
    <w:p>
      <w:pPr>
        <w:pStyle w:val="Heading2"/>
      </w:pPr>
      <w:r>
        <w:t>Erwägungen</w:t>
      </w:r>
    </w:p>
    <w:p>
      <w:r>
        <w:rPr>
          <w:b/>
        </w:rPr>
        <w:t>E. 2</w:t>
      </w:r>
    </w:p>
    <w:p>
      <w:r>
        <w:t>CV 2</w:t>
      </w:r>
    </w:p>
    <w:p>
      <w:r>
        <w:t>in materia di conguaglio della previdenza professionale a causa di divorzio</w:t>
      </w:r>
    </w:p>
    <w:p>
      <w:r>
        <w:t>consideratoin fatto e in diritto</w:t>
      </w:r>
    </w:p>
    <w:p>
      <w:r>
        <w:t>1.1 Per sentenza 16 febbraio 2021, passata in giudicato, il Pretore del Distretto di __________ ha sciolto per divorzio il matrimonio contratto il 27 giugno 1997 tra CV 1 e AT 1. Al punto 3 del dispositivo il Pretore ha stabilito che laLa previdenza professionale è divisa a metà come di legge, valuta 28 gennaio 2014,ordinando la trasmissione dellincarto, dopo crescita in giudicato del divorzio, al TCA(cfr. I).</w:t>
      </w:r>
    </w:p>
    <w:p>
      <w:r>
        <w:t>1.2 Passata in giudicato la sentenza di divorzio, il Pretore ha quindi rimesso la causa allo scrivente Tribunale (TCA) quale autorità giudiziaria competente ai sensi degli artt. 25a cpv. 1 LFLP e 73 cpv. 1 LPP (art. 281 cpv. 3 CPC; cfr. II).</w:t>
      </w:r>
    </w:p>
    <w:p>
      <w:r>
        <w:rPr>
          <w:b/>
        </w:rPr>
        <w:t>E. 2.1</w:t>
      </w:r>
    </w:p>
    <w:p>
      <w:r>
        <w:t>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Competente ratione loci a statuire nel merito della presente causa è lo scrivente Tribunale quale giudice del luogo del divorzio competente secondo lart. 73 LPP (art. 25a cpv. 1 prima frase LFLP).</w:t>
      </w:r>
    </w:p>
    <w:p>
      <w:r>
        <w:t>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Tali disposizioni si applicano infatti ai procedimenti di divorziopendenti dinanzi ad unautorità cantona-le (ossia ad un giudice civile cantonale; cfr. STCA 34.2017.10 del 21 agosto 2017; cfr.STF 9C_299/2018 del 25 luglio 2018 consid, 4.2.1, STF 149/2017 del 10 ottobre 2017 consid. 3.2) al momento dellentrata in vigore della modifica (art. 7d cpv. 2 Tit.fin. CC; in casu la causa di divorzio è stata promossa il 28 gennaio 2014 e si è conclusa con sentenza 16 febbraio 2021).</w:t>
      </w:r>
    </w:p>
    <w:p>
      <w:r>
        <w:t>2.3Per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Dies ad quem per il riparto è il momento dellintroduzione della-zione di divorzio (art. 122 CC), in casu il 28 gennaio 2014.</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 Giusta lart. 25a cpv. 1 seconda frase LFLP nelle procedure di completamento di una sentenza straniera di divorzio è considerato luogo del divorzio il luogo della procedura di completamento (art. 64 LDIP).</w:t>
      </w:r>
    </w:p>
    <w:p>
      <w:r>
        <w:t>2.4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rPr>
          <w:b/>
        </w:rPr>
        <w:t>E. 2.3</w:t>
      </w:r>
    </w:p>
    <w:p>
      <w:r>
        <w:t>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 Dies ad quem per il riparto è il momento dell’introduzione dell’a-zione di divorzio (art. 122 CC), in casu il 28 gennaio 2014. 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 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 (la chiave di ripartizione decisa dal giudice del divorzio è vincolante per il giudice di cui agli artt. 25a LFLP e 73 LPP; DTF 132 V 337, 130 III 341, 128 V 46 e STF B 48/06 dell’8 marzo 2007) non appena gli sia stata rimessa la causa. Sia i 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 Giusta l’art. 25a cpv. 1 seconda frase LFLP nelle procedure di completamento di una sentenza straniera di divorzio è considerato luogo del divorzio il luogo della procedura di completamento (art. 64 LDIP). 2.4   L 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rPr>
          <w:b/>
        </w:rPr>
        <w:t>E. 2.5</w:t>
      </w:r>
    </w:p>
    <w:p>
      <w:r>
        <w:t>2.5.1   Dalla documentazione agli atti e dalle dichiarazioni di parte risulta che AT 1 al momento del matrimonio (27 giugno 1997) disponeva di un avere previdenziale di fr. 10'178.55 presso laAT 2, mentre che alla data determinante per il riparto (28 gennaio 2014) disponeva presso la medesima fondazione di un avere divisibile di fr. 16'705.87.</w:t>
      </w:r>
    </w:p>
    <w:p>
      <w:r>
        <w:t>Considerati giusta lart. 22a cpv. 1 LFLP gli interessi (fr. 5'985.30; per il calcolo cfr. www.gerichte.ch) maturati sino al divorzio (28 gennaio 2014) sullavere esistente alla data del matrimonio e calcolatiapplicando il tasso minimo stabilito dal Consiglio federale (art. 8a cpv. 1 OLP e art. 12 OPP2)indipendentemente daquelloeffettivamente praticato dallistituto previdenziale (Schneider/Bruchez, cit., p. 224; Brunner, Vorsorgeausgleich und BVG-Mindestzinssatz, in: ZBJV 2004, pp. 136s),lavere soggetto a divisione accumulato dallex moglie devessere cifrato in fr. 542.02 (16'705.87  10'178.55  5'985.30).</w:t>
      </w:r>
    </w:p>
    <w:p>
      <w:r>
        <w:t>2.5.2   Dallistruttoria di causa è per contro emerso che CV 1  che alla celebrazione del matrimonio non risulta disponesse di a-veri previdenziali da considerare ai sensi dellart. 22a cpv. 1 seconda frase LFLP  in data 28 gennaio 2014 deteneva un avere di fr. 44'319.50 sulla polizza di libero passaggio __________ di CV 2 (cfr. XVI).</w:t>
      </w:r>
    </w:p>
    <w:p>
      <w:r>
        <w:t>2.5.3   Sulla scorta delle considerazioni che precedono, richiamata la chiave di ripartizione stabilita dal Pretore (cfr. supra consid. 1.1), a favore di AT 1 spetta a saldo (DTF 129 V 254) un accredito di fr. 21'888.74 ([44'319.50-542.02] : 2).</w:t>
      </w:r>
    </w:p>
    <w:p>
      <w:r>
        <w:rPr>
          <w:b/>
        </w:rPr>
        <w:t>E. 2.6</w:t>
      </w:r>
    </w:p>
    <w:p>
      <w:r>
        <w:t>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 2010 del 6 dicembre 2010).</w:t>
      </w:r>
    </w:p>
    <w:p>
      <w:r>
        <w:t>Ne consegue che, nel rispetto di quanto previsto dal nuovo art. 22c LFLP quo alla ripartizione tra parte obbligatoria e sovraobbligatoria,lavere difr.21'888.74,unitamente agli interessi compensativial tasso minimo (per quanto concerne la parte obbligatoria; cfr. STF 9C_227/2009 del 25 settembre 2009) di cui ai combinati articoli 8a cpv. 1 OLP e 12 OPP2, rispettivamente, nella misura in cui superiore, a quello praticato dall'istituto debitorematurati su tale importo dal 28 gennaio 2014 sino al momento dell'effettivo trasferimento (DTF 129 V 255;STF B 73/02 dell8 aprile 2003, STF B 113/02 dell8 luglio 2003, STF B 36/02 del 18 luglio 2003; Bollettino LPP UFAS n. 138 del 16 marzo 2015) dovrà essere versato a favore di AT 1 presso la AT 2.</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2.7   La procedura è gratuita (art. 73 cpv. 2 LPP, art. 29 cpv. 1 Lptca).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