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34.2021.12 vom 22. Oktober 2021</w:t>
      </w:r>
    </w:p>
    <w:p>
      <w:r>
        <w:t>TI Tribunale d'appello, 2021-10-22, IT</w:t>
      </w:r>
    </w:p>
    <w:p>
      <w:r>
        <w:rPr>
          <w:b/>
        </w:rPr>
        <w:t xml:space="preserve">Quelle: </w:t>
      </w:r>
      <w:r>
        <w:t>https://mcp.opencaselaw.ch/entscheid/ti_gerichte_34.2021.12</w:t>
      </w:r>
    </w:p>
    <w:p>
      <w:r>
        <w:t>FR: TI_GERICHTE 34.2021.12 du 22 octobre 2021</w:t>
      </w:r>
    </w:p>
    <w:p>
      <w:r>
        <w:t>IT: TI_GERICHTE 34.2021.12 del 22 ottobre 2021</w:t>
      </w:r>
    </w:p>
    <w:p>
      <w:pPr>
        <w:pStyle w:val="Heading2"/>
      </w:pPr>
      <w:r>
        <w:t>Volltext</w:t>
      </w:r>
    </w:p>
    <w:p>
      <w:r>
        <w:t>Incarto n.34.2021.12</w:t>
      </w:r>
    </w:p>
    <w:p>
      <w:r>
        <w:t>RG/sc</w:t>
      </w:r>
    </w:p>
    <w:p>
      <w:r>
        <w:t>Lugano</w:t>
      </w:r>
    </w:p>
    <w:p>
      <w:r>
        <w:t>22 ottobre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12/13 aprile 2021 dalla Pretura di _______________ (art. 281 cpv. 3 CPC) e che oppone</w:t>
      </w:r>
    </w:p>
    <w:p>
      <w:r>
        <w:t>AT 1</w:t>
      </w:r>
    </w:p>
    <w:p>
      <w:r>
        <w:t>a</w:t>
      </w:r>
    </w:p>
    <w:p>
      <w:r>
        <w:t>1.CV 1</w:t>
      </w:r>
    </w:p>
    <w:p>
      <w:r>
        <w:t>2.CV 2</w:t>
      </w:r>
    </w:p>
    <w:p>
      <w:r>
        <w:t>in materia di conguaglio della previdenza professionale a causa di divorzio</w:t>
      </w:r>
    </w:p>
    <w:p>
      <w:r>
        <w:t>consideratoin fatto e in diritto</w:t>
      </w:r>
    </w:p>
    <w:p>
      <w:r>
        <w:t>1.1Per sentenza 24 luglio 2020, passata in giudicato, il Pretore del Distretto di __________ ha pronunziato il divorzio tra AT 1 e CV 1 (nata __________), unitisi in matrimonio il 22 ottobre 1992. Al punto 2 del dispositivo il Pretore ha stabilito cheLa previdenza professionale è divisa a metà come di legge valuta 11 aprile 2013, ordinando quindi la trasmissione dellincarto, dopo crescita in giudicato del divorzio, al Tribunale cantonale delle assicurazioni (TCA) (cfr. I).</w:t>
      </w:r>
    </w:p>
    <w:p>
      <w:r>
        <w:t>1.2Il 12/13 aprile 2021 il Pretore ha rimesso la causa allo scrivente Tribunale (TCA) quale autorità giudiziaria competente ai sensi degli artt. 25a cpv. 1 LFLP e 73 cpv. 1 LPP (art. 281 cpv. 3 CPC; cfr. II).</w:t>
      </w:r>
    </w:p>
    <w:p>
      <w:r>
        <w:t>2.1La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l11 aprile 2013 e si è conclusa con sentenza 24 luglio 2020).</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il momento del promovimento della procedura di divorzio, nella specie l11 aprile 2013.</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2.4.1Dalle dichiarazioni di parte e dalla documentazione acquisita agli atti emerge cheal momento del matrimonio (22 ottobre 1992) CV 1 era assicurata alla __________ (in seguito divenuta __________) dove disponeva di un avere previdenziale quantificabile  sulla scorta delle informazioni e dei dati disponibili (avere complessivo [contributi del datore di lavoro e del lavoratore] di fr. 12'409 a inizio 1992, avere di fr. 15'480 a inizio 1993, cfr. certificato di previdenza in doc. IV-2)  in fr. 5'360. Presso il suddetto istituto  dove è stata assicurata sino a fine agosto 2007 (cfr. IV-34)  in data 3 gennaio 2002 essa ha effettuato un prelievo per il finanziamento dellabitazione primaria di fr. 116'000 (cfr. IV-13, IV- 22, XIV-1). In seguito, da settembre 2007 è stata assicurata, quale dipendente della __________ (cfr. IV-34, 35), alla __________ (ora __________) con trasferimento a questultima della prestazione duscita detenuta presso il precedente istituto (fr. 58'353.35; cfr. IV-35). Nel marzo 2010 il capitale di fr. 121'014.70 di cui disponeva presso la __________ è stato trasferito su un conto di libero passaggio aperto presso __________ (cfr. IV-43, 45), che a sua volta, nellagosto 2010, ha versato lintero avere di fr. 159'681.75 alla __________ (cfr. XIV-2) cui era affiliato il nuovo datore di lavoro (__________) e i cui attivi e passivi a seguito di scioglimento sono stati assunti nel novembre 2017 da CV 2 (cfr. estratti RC agli atti). Al momento dellintroduzione dellazione di divorzio (11 aprile 2013) la ex moglie disponeva presso __________ di un avere previdenziale divisibile di fr. 194'089.30 (cfr. XIV).</w:t>
      </w:r>
    </w:p>
    <w:p>
      <w:r>
        <w:t>2.4.2Se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 ancora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Conformemente al summenzionato art. 22a cpv. 3 LFLP ed applicando la tabella di calcolo riportata nel Bollettino LPP UFASn. 143 del 16 novembre 2016 p. 6, posto un avere al momento del matrimonio (22 ottobre 1992) difr. 15'480 rispettivamente di fr. 22'209.19(tenendo cioè in considerazione gli interessi ex artt. 8a OLP e 12 OPP2 maturati sino alla data del prelievo;per il calcolocfr. www.gerichte-zh.ch), considerato il prelievo di fr.116'000 effettuato il 3 gennaio 2002 di cui fr. 93'790.81 [116'000 -22'209.19] acquisiti durante il matrimonio e tenuto conto di un capitale previdenziale complessivo di fr.194'089.30presente l11 aprile 2013, limporto accumulato da CV 1 in costanza di matrimonio e suscettibile di essere diviso devessere cifrato in fr. 287'880.11 (93'790.81 +194'089.30).</w:t>
      </w:r>
    </w:p>
    <w:p>
      <w:r>
        <w:t>2.5Come indicato dal giudice del divorzio (cfr. sentenza di divorzio, consid. 8) e come si desume dagli atti della presente procedura, in costanza di matrimonio AT 1 non risulta avere accumulato capitale pensionistico suscettibile di essere diviso ai sensi degli art. 122 e segg. CC e 22 e segg. LFLP (le decisioni di tassazione federale, cantonale e comunale di cui ai docc. IV-18, 19 e 21 indirizzate a AT 1 rispettivamente a AT 1si riferiscono al già menzionato prelievo di capitale previdenziale di fr. 116'000 operato dalla moglie nel gennaio 2002).</w:t>
      </w:r>
    </w:p>
    <w:p>
      <w:r>
        <w:t>2.6Sulla scorta delle considerazioni che precedono e richiamata la chiave di ripartizione stabilita dal Pretore,a AT 1 spetta un accredito di fr. 143940 (287'880.11: 2).</w:t>
      </w:r>
    </w:p>
    <w:p>
      <w:r>
        <w:t>2.7Per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Pertanto, limporto di fr.143940 dovràessere trasferito da parte di CV 2 a favore di AT 1 su unconto di libero passaggio da aprirsi presso lIstituto collettore (artt. 4 cpv. 2 e 22 cpv. 1 LFLP e 60 cpv. 5 LPP).Dovranno altresì essere corrisposti gliinteressi compensativial tasso minimo (per quanto concerne la parte obbligatoria; cfr. STF 9C_227/2009 del 25 settembre 2009) di cui ai combinati articoli 8a cpv. 1 OLP e 12 OPP2, rispettivamente, nella misura in cui superiore, a quello praticato dall'istituto debitorematurati su predetto importoa far tempo dall11 aprile 2013e sino al momento dell'effettivo trasferimento (DTF 129 V 255; STF B 73/02 dell8 aprile 2003, B 113/02 dell8 luglio 2003,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 B 105/02 del 4 settembre 2003).</w:t>
      </w:r>
    </w:p>
    <w:p>
      <w:r>
        <w:t>2.8La procedura è gratuita (art. 73 cpv. 2 LPP, art. 29 cpv. 1 Lptca). Non si assegnano ripetibili.</w:t>
      </w:r>
    </w:p>
    <w:p>
      <w:r>
        <w:t>Per questi motivi</w:t>
      </w:r>
    </w:p>
    <w:p>
      <w:r>
        <w:t>dichiara e pronuncia</w:t>
      </w:r>
    </w:p>
    <w:p>
      <w:r>
        <w:t>1.-   Lavere di previdenza acquisito da CV 1 durante il matrimonio e soggetto a divisione ammonta a fr. 287'880.11.</w:t>
      </w:r>
    </w:p>
    <w:p>
      <w:r>
        <w:t>2.-   È fatto ordine a CV 4 di versare a favore di AT 1, su unconto da aprirsi a suo nome presso la __________,limporto di fr. 143940 oltre interessi compensativi dall11 aprile 2013.</w:t>
      </w:r>
    </w:p>
    <w:p>
      <w:r>
        <w:t>3.-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