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34.2017.28 vom 17. Oktober 2017</w:t>
      </w:r>
    </w:p>
    <w:p>
      <w:r>
        <w:t>TI Tribunale d'appello, 2017-10-17, IT</w:t>
      </w:r>
    </w:p>
    <w:p>
      <w:r>
        <w:rPr>
          <w:b/>
        </w:rPr>
        <w:t xml:space="preserve">Quelle: </w:t>
      </w:r>
      <w:r>
        <w:t>https://mcp.opencaselaw.ch/entscheid/ti_gerichte_34.2017.28</w:t>
      </w:r>
    </w:p>
    <w:p>
      <w:r>
        <w:t>FR: TI_GERICHTE 34.2017.28 du 17 octobre 2017</w:t>
      </w:r>
    </w:p>
    <w:p>
      <w:r>
        <w:t>IT: TI_GERICHTE 34.2017.28 del 17 ottobre 2017</w:t>
      </w:r>
    </w:p>
    <w:p>
      <w:pPr>
        <w:pStyle w:val="Heading2"/>
      </w:pPr>
      <w:r>
        <w:t>Volltext</w:t>
      </w:r>
    </w:p>
    <w:p>
      <w:r>
        <w:t>Incarto n.34.2017.28</w:t>
      </w:r>
    </w:p>
    <w:p>
      <w:r>
        <w:t>rg/sc</w:t>
      </w:r>
    </w:p>
    <w:p>
      <w:r>
        <w:t>Lugano</w:t>
      </w:r>
    </w:p>
    <w:p>
      <w:r>
        <w:t>17 ottobre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25 luglio 2017 di</w:t>
      </w:r>
    </w:p>
    <w:p>
      <w:r>
        <w:t>AT 1</w:t>
      </w:r>
    </w:p>
    <w:p>
      <w:r>
        <w:t>contro</w:t>
      </w:r>
    </w:p>
    <w:p>
      <w:r>
        <w:t>CV 1</w:t>
      </w:r>
    </w:p>
    <w:p>
      <w:r>
        <w:t>in materia di contributi della previdenza professionale</w:t>
      </w:r>
    </w:p>
    <w:p>
      <w:r>
        <w:t>consideratoin fatto e in diritto</w:t>
      </w:r>
    </w:p>
    <w:p>
      <w:r>
        <w:t>che                              -   con la petizione in oggetto la fondazione attrice postula la condanna della società convenuta, quale datrice di lavoro, al pagamento - a titolo di contributi della previdenza professionale - di CHF 17'450.55 oltre interessi al 5% dal 18 maggio 2017, di CHF 332.05 per interessi dal 1. gennaio al 17 maggio 2017, chiedendo altresì il rigetto dellopposizione al precetto esecutivo n. __________ del 23 maggio 2017 dellUE di __________, con protesta di tasse spese e ripetibili;</w:t>
      </w:r>
    </w:p>
    <w:p>
      <w:r>
        <w:t>-   dopo concessione di una proroga per la presentazione della risposta di causa, con scritto 19 settembre 2017 il rappresentante della società convenuta - producendo copia di uno scambio di corrispondenza e-mail intercorso con listituto di previdenza attrice relativamente al suo stato di salute - ha co-municato:</w:t>
      </w:r>
    </w:p>
    <w:p>
      <w:r>
        <w:t>-   con scritto 29 settembre 2017 parte attrice ha precisato:</w:t>
      </w:r>
    </w:p>
    <w:p>
      <w:r>
        <w:t>-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Band XIV, Soziale Sicherheit, 2007, p. 2065;Lüthy,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   con la sottoscrizione del contratto di affiliazione in data 17 settembre/5 ottobre 2009 la CV 1 si è impegnata ad attuare la previdenza professionale dei suoi dipendenti (con effetto dal 1. aprile 2009) tramite prelevamento dei contributi dal salario dei lavoratori e versamento di questi e dei suoi contributi alla fondazione (art. 5.1 contratto daffiliazione sub doc. A/2). La convenuta non ha del resto mai contestato il suo obbligo contributivo che devessere quindi riconosciuto. Le persone assicurate, i salari assicurati, il finanziamento ed il calcolo dei contributi risultano dagli atti (cfr. doc. A/4-5; cfr. piano delle prestazioni e di finanziamento sub doc. A/2). Il contratto daffiliazione (art. 5.4, 5.5) stabilisce inoltre le norme applicabili al pagamento e all'esigibilità dei contributi, prevedendo anche l'addebito o l'accredito di interessi in caso di pagamento anticipato rispettivamente ritardato dei contributi;</w:t>
      </w:r>
    </w:p>
    <w:p>
      <w:r>
        <w:t>-   dalla documentazione in atti risulta che il calcolo dei contributi (con interessi) in quanto tali (CHF 13'570.65, cfr. doc. A/6) è stato effettuato conformemente alle disposizioni legali e regolamentari,tenendo conto dei salari erogati e delloscioglimento del contratto (per ritardo nel pagamento dei contributi) con effetto al 31 agosto 2017 (doc. A/3; cfr. art. 7.3 contratto daffiliazione);</w:t>
      </w:r>
    </w:p>
    <w:p>
      <w:r>
        <w:t>-   pure la richiesta di interessi di ritardo  al tasso del 5% che non supera quello legale di cui allart. 104 CO  appare giustificata. Giusta lart. 66 cpv. 2 LPP sui contributi non pagati alla scadenza l'istituto di previdenza può infatti pretendere interessi di mora(Brühwiler, op. cit., p. 46; SZS 1990 p. 89; cfr. art. 5.4 contratto d'affiliazione);</w:t>
      </w:r>
    </w:p>
    <w:p>
      <w:r>
        <w:t>-   per quanto attiene alladdebito delle spese (cfr. estratto conto sub doc. A/6), le stesse vanno riconosciute nella misura in cui documentate e previste nellapposito regolamento dei costi (sub doc. A/2). In tal senso vanno ammesse spese di diffida (CHF 2'100.--, doc. A/7.1-7.10), spese di esecuzione (CHF 1500, doc.A/7.7, 7.9,7.11) (cfr. anche estratto conto in doc. A/6). Non possono per contro essere riconosciuti gli addebiti di CHF 73.30 registrati il 18 dicembre 2014, CHF 103.30 registrati il 12 novembre 2015 e CHF 103.30 registrati il 12 agosto 2016 in quanto riferiti a spese di precetto anticipate dalla fondazione. Va infatti osservato che tale spesa segue le sorti dellesecuzione e non può essere imposte né dallassicurato-re né dal tribunale delle assicurazioni in quanto costituisce un accessorio del credito che deve essere sopportato dal debitore se non riesce ad opporsi con successo allesecuzione, in caso contrario dal creditore. Esse sono aggiunte alla somma oggetto di esecuzione per la quale è stato concesso il rigetto senza che sia necessaria unesplicita pronuncia nel merito (DTF 71 III 144;Ammon/Walther, Grundriss des Schuldbetreibungs-und Konkursrechts, 2008, p. 116; STCA 34.2006. 55 del 24 gennaio 2007);</w:t>
      </w:r>
    </w:p>
    <w:p>
      <w:r>
        <w:t>-   non possono essere riconosciuti CHF 500.--quale indennità chiesta e non meglio precisata (con riferimento al regolamento dei costi) in petizione;</w:t>
      </w:r>
    </w:p>
    <w:p>
      <w:r>
        <w:t>-   stante quanto sopra, va quindi riconosciuto un credito di complessivi CHF 17'502.70 (17'450.55  279.90 + 332.05);</w:t>
      </w:r>
    </w:p>
    <w:p>
      <w:r>
        <w:t>-   accordi tra le parti riguardanti dilazioni o facilitazioni di pagamento rispettivamente condoni sfuggono per costante giurisprudenza allesame dello scrivente Tribunale, al quale non compete quindi statuire sulla richiesta di parte convenuta (fondata su motivi del tutto comprensibili ma non accolta da controparte, cfr. VII) tendente al condono di varie multe, interessi di mora etc con possibilità di saldare, in rate mensili di Sfr. 4'000, la prima entro il 30 settembre 2017 e successivamente entro il 30 di ogni mese fino ad estinzione del debito totale (cfr. V). Va da sé che eventuali accordi per dilazioni o condoni potranno essere formalizzati anche dopo lema-nazione del presente giudizio;</w:t>
      </w:r>
    </w:p>
    <w:p>
      <w:r>
        <w:t>-   anche la richiesta attorea volta alla pronunzia del rigetto definitivo dell'opposizione al PE __________ del 23 maggio 2017 dellUE di __________ merita accoglimento.</w:t>
      </w:r>
    </w:p>
    <w:p>
      <w:r>
        <w:t>Il creditore che a seguito dell'opposizione ha fatto riconoscere i propri diritti conformemente all'art. 79 LEF, può difatti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é che qualora il creditore segua la procedura dell'art. 79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   la procedura è di principio gratuita (art. 73 cpv. 3 LPP e art. 29 cpv. 1 Lptca);</w:t>
      </w:r>
    </w:p>
    <w:p>
      <w:r>
        <w:t>-a parte attrice, peraltro non patrocinata in causa, non vengono assegnate ripetibili (non può che riferirsi a tale indennizzo la richiesta, peraltro priva di riscontro nel regolamento dei costi, formulata nel petitum dalla fondazione attrice, di rifusione delle spese del presente precetto).Conformemente alla giurisprudenza federale, nessunaindennità per ripetibili èinfattidi regola assegnata alle autorità o agli organismi con compiti di diritto pubblico. Ciò vale anche per gli istituti di previdenza (DTF 126 V 149 consid. 4, 118 V 169 consid. 7). Allassicura-tore vincente e non patrocinato in causa si giustifica eccezionalmente lassegnazione di ripetibili unicamente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 condizioni, queste, che non risultano realizzate nel caso di specie(DTF 128 V 133, 323, 127 V 207, 126 V 150, 110 V 135; AHI Praxis 2000 p. 337; RCC 1984 p. 278).</w:t>
      </w:r>
    </w:p>
    <w:p>
      <w:r>
        <w:t>Per questi motivi</w:t>
      </w:r>
    </w:p>
    <w:p>
      <w:r>
        <w:t>dichiara e pronuncia</w:t>
      </w:r>
    </w:p>
    <w:p>
      <w:r>
        <w:t>1.-   La petizione èparzialmente accolta.</w:t>
      </w:r>
    </w:p>
    <w:p>
      <w:r>
        <w:t>§   La CV 1 è condannata a versare alla AT 1 la somma di CHF17'502.70 oltre interessi al 5% dal 18 maggio 2017 su CHF 17'170.65.</w:t>
      </w:r>
    </w:p>
    <w:p>
      <w:r>
        <w:t>§§   È rigettata in via definitiva l'opposizione al precetto esecutivo n. __________ del 23 maggio 2017 dellUE di __________ per limportodi CHF17'502.70 oltre interessi al 5% dal 18 maggio 2017 su CHF 17'170.65.</w:t>
      </w:r>
    </w:p>
    <w:p>
      <w:r>
        <w:t>2.-   Non si prelevano tasse e spese di giustizia. Non si assegnano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