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34.2016.36 vom 14. April 2017</w:t>
      </w:r>
    </w:p>
    <w:p>
      <w:r>
        <w:t>TI Tribunale d'appello, 2017-04-14, IT</w:t>
      </w:r>
    </w:p>
    <w:p>
      <w:r>
        <w:rPr>
          <w:b/>
        </w:rPr>
        <w:t xml:space="preserve">Quelle: </w:t>
      </w:r>
      <w:r>
        <w:t>https://mcp.opencaselaw.ch/entscheid/ti_gerichte_34.2016.36_d20170414</w:t>
      </w:r>
    </w:p>
    <w:p>
      <w:r>
        <w:t>FR: TI_GERICHTE 34.2016.36 du 14 avril 2017</w:t>
      </w:r>
    </w:p>
    <w:p>
      <w:r>
        <w:t>IT: TI_GERICHTE 34.2016.36 del 14 aprile 2017</w:t>
      </w:r>
    </w:p>
    <w:p>
      <w:pPr>
        <w:pStyle w:val="Heading2"/>
      </w:pPr>
      <w:r>
        <w:t>Regeste</w:t>
      </w:r>
    </w:p>
    <w:p>
      <w:r>
        <w:t>Conguaglio della previdenza professionale nell'ambito del divorzio. Divorzio estero. Delibazione da parte del Pretore</w:t>
      </w:r>
    </w:p>
    <w:p>
      <w:pPr>
        <w:pStyle w:val="Heading2"/>
      </w:pPr>
      <w:r>
        <w:t>Volltext</w:t>
      </w:r>
    </w:p>
    <w:p>
      <w:r>
        <w:t>Tessin Tribunale cantonale delle assicurazioni 14.04.2017 34.2016.36 Tessin Tribunale cantonale delle assicurazioni 14.04.2017 34.2016.36 Ticino Tribunale cantonale delle assicurazioni 14.04.2017 34.2016.36</w:t>
      </w:r>
    </w:p>
    <w:p>
      <w:r>
        <w:t>Conguaglio della previdenza professionale nell'ambito del divorzio. Divorzio estero. Delibazione da parte del Pretore</w:t>
      </w:r>
    </w:p>
    <w:p>
      <w:r>
        <w:t>Raccomandata Incarto n. 34.2016.36 rg /sc Lugano 14 aprile 2017 In nome della Repubblica e Cantone Ticino Il vicepresidente del Tribunale cantonale delle assicurazioni Giudice Raffaele Guffi segretaria: Stefania Cagni statuendo nella causa rimessagli il 13/14 dicembre 2016 dalla Pretura di __________ e che oppone AT 1 rappr. da: RA 1 a 1. CV 1 1 rappr. da: RA 1 2. CV 2 in materia di previdenza professionale (divisione degli averi previdenziali a causa di divorzio) considerato in fatto e in diritto 1.1 Con decisione 23 novembre 2016 il Pretore della Giurisdizione di __________ ha riconosciuto e dichiarato l’esecutività del settlement agreement del 22 maggio 2016 sulle conseguenze accessorie del divorzio sottoscritto da CV 1 (“Prima Parte”) e AT 1 (“Seconda Parte”) – unitisi in matrimonio il 2 aprile 2004 – e omologato dal Tribunale di __________ (__________). Per quanto concerne gli aspetti previdenziali, al punto 3.10 del suddetto accordo è stato stabilito che “La Prima Parte dovrà pagare la metà dei crediti pensionistici della Cassa Pensione accumulati al 31.12.2015” . In data 13/14 dicembre 2016 la Pretura di __________ ha quindi trasmesso per competenza decisionale allo scrivente Tribunale la decisione del 23 novembre 2016 e l’intera relativa documentazione. 1.2                                           Il TCA ha quindi chiesto agli ex coniugi di determinarsi in merito alla divisione. Ha pure chiesto a CV 1 di fornire i nominativi degli istituti di previdenza ai quali è stato assicurato in Svizzera durante il matrimonio, rispettivamente i nominativi degli istituti di libero passaggio o enti assicurativi presso cui deteneva o detiene averi previdenziali del 2° pilastro (conti o polizze di libero passaggio), indicando pure se sono stati effettuati prelievi per il finanziamento dell’abitazione primaria o versamenti in contanti del proprio capitale previdenziale. AT 1 è invece stata invitata a trasmettere la documentazione comprovante l'avvenuta apertura (o l'esistenza) di un conto o polizza di libero passaggio sul quale dovrà essere versato quanto di sua spettanza. Il TCA ha quindi interpellato l’istituto di libero passaggio dell’ex marito chiedendogli di fornire i dati e le informazioni necessarie ai fini del riparto. Delle prese di posizione degli ex coniugi e dell’istituto di libero passaggio interessato si dirà per quanto occorra nel prosieguo.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Le disposizioni di cui agli artt. 122-124 CC, 22-25a LFLP e 280-281 CPC menzionati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 procedimenti di divorzio pendenti dinanzi ad una autorità cantonale al momento dell’entrata in vigore della modifica (art. 7d cpv. 2 Tit. fin. CC). In casu la procedura di divorzio si è conclusa con la sottoscrizione dello settlement agreement del 22 maggio 2016 con consecutiva emissione del certificato di divorzio (doc. H) e iscrizione dello stesso nel registro dello stato civile in data 28 luglio 2016 (doc. E). La nuova normativa entrata in vigore il 1. gennaio 2017 non trova pertanto applicazione nel caso concreto. 2.3 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Il giudice di cui all’art. 73 cpv. 1 della LPP deve procedere d'ufficio alla divisione sulla base della chiave di ripartizione determinata dal giudice del divorzio (la chiave di ripartizione decisa da quest’ultimo è vincolante per il giudice delle assicurazioni; DTF 132 V 337, 130 III 341, 128 V 46 e STF B 48/06 dell’8 marzo 2007)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 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 Non può pertanto essere condiviso l’assunto di CV 2, secondo cui per la divisione che ci occupa è determinante la prestazione disponibile al momento del promovimento della procedura di divorzio (cfr. IX). In ogni caso, nell’accordo omologato dal giudice del divorzio, per la divisione degli averi previdenziali le parti – in conformità alla surriferita giurisprudenza – hanno legittimamente pattuito la data del 31 dicembre 2015.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O ggetto di divisione ex art. 122 CC e 22 e segg. LFLP possono essere unicamente capitali previdenziali accumulati in Svizzera (STCA 34.2008.19 del giugno 2008 con riferimenti). 2.5   Dalla (incontestata) documentazione acquisita agli atti risulta che al momento del matrimonio (2 aprile 2004) CV 1 disponeva di una prestazione d’uscita di CHF 37'663.10 presso la __________ dove è stato assicurato da agosto 2001 a luglio 2013 (cfr. II/1, IV/2). Il 31 dicembre 2015, data decisiva per la divisione (cfr. supra consid. 1.1 e 2.3), egli disponeva di un avere previdenziale di CHF 252'627.20 presso CV 2  (conto n. __________ ; cfr. IV/1) dove nel settembre 2013 è stata trasferita la prestazione d’uscita di CHF 249'934.40 accumulata presso il citato istituto previdenziale (cfr. IV/1). Dal fascicolo risulta pure che nel novembre 2009 egli ha effettuato un prelievo per il finanziamento dell’abitazione primaria di CHF 120'000.-- e che tale somma è tuttavia stata rimborsata il 30 aprile 2013 ed è quindi stata considerata nel calcolo della prestazione presente al 31 dicembre 2015 (cfr. IV/2). Dall’inserto emerge altresì che CV 1 dispone di un capitale di CHF 38'194.-- (valuta 1. gennaio 2017) sulla polizza __________ presso __________ (cfr. II/2-3). Trattandosi di un avere del 3 pilastro A, esso non è suscettibile di essere diviso nella presente sede (cfr. supra consid. 2.4). Ne consegue che, stante un capitale di CHF 252'627.20 al momento del divorzio ed essendo da ritenere che nell’omologata convenzione di divorzio gli ex coniugi __________ – come confermato da entrambi nelle more della presente procedura (cfr. IV) – abbiano concordato di dividere a metà l’avere previdenziale presente il 31 dicembre 2015 e “ non solo quanto accumulato in corso di matrimonio ”, richiamata la chiave di ripartizione stabilita in sede civile, a favore di AT 1 spetta un importo di CHF 126'313.60 ( 252'627.20 : 2). 2.6 Per applicazione analogica degli artt. 3 a 5 LFLP, l'avere cui il coniuge ha diritto deve essere trasferito nella forma vincolata di prestazione di libero passaggio ai sensi della LFLP e non versato in contanti (art. 22 cpv. 1 LFLP; Schneider/Bruchez , in SVZ 2000, p. 258). L'importo deve essere accreditato o a un istituto di previdenza o su un conto o polizza di libero passaggio (STF 9C_610/2010 del 6 dicembre 2010). Pertanto, la somma di CHF 126'313.60,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 31 dicembre 2015 e sino al momento dell'effettivo trasferimento (DTF 129 V 255; STFA B 73/02 dell’8 aprile 2003, B 113/02 dell’8 luglio 2003, B 36/02 del 18 luglio 2003; Bollettino LPP UFAS n. 138 del 16 marzo 2015), dovrà essere trasferita da parte di CV 2 e a favore di AT 1 sul conto di libero passaggio ad essa intestato presso la __________ (cfr. IV/3).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 Per questi motivi dichiara e pronuncia 1.-   L’avere di previdenza acquisito da CV 1 durante il matrimonio e soggetto a divisione ammonta a CHF 252'627.20. 2.-   E' fatto ordine a CV 2 di versare a debito del conto n. __________ intestato a CV 1 e a favore di AT 1 , sul conto di libero passaggio ad essa intestato presso la __________, la somma di CHF 126'313.60 oltre interessi compensativi ai sensi dei considerandi a datare dal 31 dicembre 2015. 3.-   Non si percepisce tassa di giustizia, mentre le spese sono poste a carico dello Stato. Non si assegnano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La segretaria 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