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34.2014.22 vom 22. September 2014</w:t>
      </w:r>
    </w:p>
    <w:p>
      <w:r>
        <w:t>TI Tribunale d'appello, 2014-09-22, IT</w:t>
      </w:r>
    </w:p>
    <w:p>
      <w:r>
        <w:rPr>
          <w:b/>
        </w:rPr>
        <w:t xml:space="preserve">Quelle: </w:t>
      </w:r>
      <w:r>
        <w:t>https://mcp.opencaselaw.ch/entscheid/ti_gerichte_34.2014.22</w:t>
      </w:r>
    </w:p>
    <w:p>
      <w:r>
        <w:t>FR: TI_GERICHTE 34.2014.22 du 22 septembre 2014</w:t>
      </w:r>
    </w:p>
    <w:p>
      <w:r>
        <w:t>IT: TI_GERICHTE 34.2014.22 del 22 settembre 2014</w:t>
      </w:r>
    </w:p>
    <w:p>
      <w:pPr>
        <w:pStyle w:val="Heading2"/>
      </w:pPr>
      <w:r>
        <w:t>Volltext</w:t>
      </w:r>
    </w:p>
    <w:p>
      <w:r>
        <w:t>Incarto n.34.2014.22</w:t>
      </w:r>
    </w:p>
    <w:p>
      <w:r>
        <w:t>rg/sc</w:t>
      </w:r>
    </w:p>
    <w:p>
      <w:r>
        <w:t>Lugano</w:t>
      </w:r>
    </w:p>
    <w:p>
      <w:r>
        <w:t>22 settembre 2014</w:t>
      </w:r>
    </w:p>
    <w:p>
      <w:r>
        <w:t>In nomedella Repubblica e CantoneTicino</w:t>
      </w:r>
    </w:p>
    <w:p>
      <w:r>
        <w:t>Il vicepresidente</w:t>
      </w:r>
    </w:p>
    <w:p>
      <w:r>
        <w:t>del Tribunale cantonale delle assicurazioni</w:t>
      </w:r>
    </w:p>
    <w:p>
      <w:r>
        <w:t>Giudice Raffaele Guffi</w:t>
      </w:r>
    </w:p>
    <w:p>
      <w:r>
        <w:t>segretario:</w:t>
      </w:r>
    </w:p>
    <w:p>
      <w:r>
        <w:t>Fabio Zocchetti</w:t>
      </w:r>
    </w:p>
    <w:p>
      <w:r>
        <w:t>statuendo sullistanza di gratuito patrocinio del 3 settembre 2014 presentata da</w:t>
      </w:r>
    </w:p>
    <w:p>
      <w:r>
        <w:t>RI 1</w:t>
      </w:r>
    </w:p>
    <w:p>
      <w:r>
        <w:t>in relazione alla procedura di cui allinc. 34.2013.43 sfociata nella STCA del 27 febbraio 2014</w:t>
      </w:r>
    </w:p>
    <w:p>
      <w:r>
        <w:t>consideratoin fatto e in diritto</w:t>
      </w:r>
    </w:p>
    <w:p>
      <w:r>
        <w:t>-con giudizio 27 febbraio 2014 (34. 2013.43), cresciuto in giudicato, nellambito delle sue competenze giusta lart. 25a LFLP lo scrivente Tribunale ha quantificato in CHF 45'859.90 lavere pensionistico accumulato da __________ in costanza di matrimonio, facendo di conseguenza ordine allistituto previdenziale cui questultimo era assicurato di accreditare a favore della ex moglie RI 1 la somma di CHF 22'929.95;</w:t>
      </w:r>
    </w:p>
    <w:p>
      <w:r>
        <w:t>-con istanza 3 settembre 2014 RI 1, rappresentata dallavv. RA 1, chiede di essere posta al beneficio del gratuito patrocinio in relazione alla procedura sfociata nella suddetta STCA del 27 febbraio 2014;</w:t>
      </w:r>
    </w:p>
    <w:p>
      <w:r>
        <w:t>-una domanda di gratuito patrocinio non può essere proposta do-po chiusura del procedimento per il quale viene chiesta (Ackermann, Aktuelle Fragen zur unentgeltlichen Vertretung im Sozialversicherungsrecht, in:Schaffhauser/Kieser(Hrsg.), Sozialversicherungsrechtstagung 2010, pp. 162, 178 e ivi riferimenti;Kieser, Das Verwaltungsverfahren in der Sozialversicherung, 1999, p. 161 nota 883;Zünd/Pfiffner Rauber(Hrsg.), Gesetz über das Sozialversicherungsrecht des Kantons Zürich, 2009, § 16 n. 11;Müller, Grundrechte in der Schweiz, 1999, p. 546);</w:t>
      </w:r>
    </w:p>
    <w:p>
      <w:r>
        <w:t>-la procedura per la quale nella fattispecie è chiesto il gratuito patrocinio si è conclusa con la suddetta STCA del 27 febbraio 2014, cresciuta in giudicato;</w:t>
      </w:r>
    </w:p>
    <w:p>
      <w:r>
        <w:t>-listanza in rassegna non è di conseguenza proponibile e deve essere dichiarata irricevibile;</w:t>
      </w:r>
    </w:p>
    <w:p>
      <w:r>
        <w:t>-le condizioni per riconoscere il diritto al gratuito patrocinio non appaiono in ogni caso adempiute;</w:t>
      </w:r>
    </w:p>
    <w:p>
      <w:r>
        <w:t>-presupposti per la concessione del gratuito patrocinio  quale principio generale di procedura valido, anche in assenza di una relativa specifica norma, in tutti i settori delle assicurazioni sociali e dedotto dallart. 29 cpv. 3 Cost. fed.  sono cumulativamente l'esistenza di uno stato d'indigenza e la probabilità di esito favorevole del processo; l'intervento di un avvocato deve inoltre essere necessario alla corretta tutela degli interessi del richiedente (DTF 103 V 47 consid. 1b, 98 V 116; Pratique VSI 1989 p. 348 consid. 2a; STFA B 30/05 del 16 ottobre 2006 consid.5.2.2, B 27/06 del 1. dicembre 2006 consid. 3;Schwarzenbach-Hanhart, Die Rechtspflege nach dem BVG, in SZS 1983 p. 188;Zünd, Besonderheiten des Verfahrens vor Sozialversicherungsgericht (u.a. Art. 142 ZGB), in:Mosimann(Hrsg.), Aktuelles in Sozialversicherungsrecht, 2001, pp. 159ss;  cfr. anche artt.2 e 3 LAG). La giurisprudenza ha avuto modo di precisare che quest'ultima condizione (necessità di un avvocato) è realizzata nella misura in cui le questioni controverse non sono di facile soluzione e la parte o il suo rappresentante civile non possiedono le necessarie conoscenze giuridiche (cfr. pro multisDTF119 Ia 265s, 103 V 46;Zünd, cit., pp. 159-160;Müller, op. cit., pp. 551s; con particolare riferimento alla procedura di divisione ex art. 25a LFLP e art. 73 LPP v. ancheSchwegler, Vorsorgeaus-gleich bei Scheidung aus sozialversicherungsrechtlicher Sicht, in: ZBJV 2010, p. 90);</w:t>
      </w:r>
    </w:p>
    <w:p>
      <w:r>
        <w:t>per questi motivi</w:t>
      </w:r>
    </w:p>
    <w:p>
      <w:r>
        <w:t>dichiara e pronuncia</w:t>
      </w:r>
    </w:p>
    <w:p>
      <w:r>
        <w:t>Per il Tribunale cantonale delle assicurazioni</w:t>
      </w:r>
    </w:p>
    <w:p>
      <w:r>
        <w:t>Il vicepresidente                                                   Il segretario</w:t>
      </w:r>
    </w:p>
    <w:p>
      <w:r>
        <w:t>giudice Raffaele Guffi                                         Fabio Zocchetti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