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34.2014.13 vom 16. Oktober 2014</w:t>
      </w:r>
    </w:p>
    <w:p>
      <w:r>
        <w:t>TI Tribunale d'appello, 2014-10-16, IT</w:t>
      </w:r>
    </w:p>
    <w:p>
      <w:r>
        <w:rPr>
          <w:b/>
        </w:rPr>
        <w:t xml:space="preserve">Quelle: </w:t>
      </w:r>
      <w:r>
        <w:t>https://mcp.opencaselaw.ch/entscheid/ti_gerichte_34.2014.13</w:t>
      </w:r>
    </w:p>
    <w:p>
      <w:r>
        <w:t>FR: TI_GERICHTE 34.2014.13 du 16 octobre 2014</w:t>
      </w:r>
    </w:p>
    <w:p>
      <w:r>
        <w:t>IT: TI_GERICHTE 34.2014.13 del 16 ottobre 2014</w:t>
      </w:r>
    </w:p>
    <w:p>
      <w:pPr>
        <w:pStyle w:val="Heading2"/>
      </w:pPr>
      <w:r>
        <w:t>Regeste</w:t>
      </w:r>
    </w:p>
    <w:p>
      <w:r>
        <w:t>Divisione degli averi previdenziali a seguito di divorzio</w:t>
      </w:r>
    </w:p>
    <w:p>
      <w:pPr>
        <w:pStyle w:val="Heading2"/>
      </w:pPr>
      <w:r>
        <w:t>Volltext</w:t>
      </w:r>
    </w:p>
    <w:p>
      <w:r>
        <w:t>Tessin Tribunale cantonale delle assicurazioni 16.10.2014 34.2014.13 Tessin Tribunale cantonale delle assicurazioni 16.10.2014 34.2014.13 Ticino Tribunale cantonale delle assicurazioni 16.10.2014 34.2014.13</w:t>
      </w:r>
    </w:p>
    <w:p>
      <w:r>
        <w:t>Divisione degli averi previdenziali a seguito di divorzio</w:t>
      </w:r>
    </w:p>
    <w:p>
      <w:r>
        <w:t>Raccomandata Incarto n. 34.2014.13 RG / sc Lugano 16 ottobre 2014 In nome della Repubblica e Cantone Ticino Il vicepresidente del Tribunale cantonale delle assicurazioni Giudice Raffaele Guffi segretario: Gianluca Menghetti statuendo nella causa rimessagli il 12/13 maggio 2014 dalla Pretura di Lugano (art. 281 cpv. 3 CPC) e che oppone 1. AT 1 1 rappr. da: RA 1 2. AT 2 a 1. CV 1 1 rappr. da: RA 2 2. CV 2 in materia di previdenza professionale (divisione degli averi previdenziali a causa di divorzio) considerato in fatto e in diritto 1.1   Con pronunzia 11 dicembre 2013, passata in giudicato – per quanto qui interessa – il 5 febbraio 2014, il Pretore del Distretto di __________ ha sciolto per divorzio il matrimonio celebrato da AT 1 e CV 1 il 12 agosto 1994. Quo agli aspetti previdenziali, al punto n. 6 del dispositivo il Pretore ha stabilito, a norma dell’art. 122 CC, una ripartizione a metà dei rispettivi averi pensionistici accumulati durante il matrimonio (cfr. I, II). 1.2   Il 12/13 maggio 2014 il giudice del divorzio ha quindi rimesso la causa allo scrivente Tribunale (TCA) quale autorità giudiziaria competente ai sensi degli artt. 25a cpv. 1 LFLP e 73 cpv. 1 LPP, per il calcolo del quantum da trasferire (cfr. art. 281 cpv. 3 CPC in vigore dal 1. gennaio 2011 e art. 142 cpv. 2 CC in vigore sino al 31 dicembre 2010; cfr. II). 1.3   Il TCA ha quindi chiesto agli ex coniugi __________ ed agli istituti di previdenza e di libero passaggio interessati (in particolare la AT 2 e la CV 2) di determinarsi al proposito, rispettivamente di fornire le informazioni necessarie ai fini del giudizio (art. 25a cpv. 2 LFLP). Delle rispettive prese di posizione si dirà, per quanto occorra, nei considerandi che seguono.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9C_211/ 2010 del 18 febbraio 2011, 9C_792/2007 del 7 novembre 2008). 2.2   Competente ratione loci a statuire nel merito della presente causa è lo scrivente Tribunale quale giudice del luogo del divorzio competente ai sensi dell'art. 73 LPP (art. 25a cpv. 1 LFLP), ritenuto che giusta l'art. 25a cpv. 2 LFLP oltre agli istituti di previdenza possono essere parte nella procedura anche gli istituti di libero passaggio (DTF 130 V 111; Schneider/Bruchez , La prévo-yance professionnelle et le divorce, in: Le nouveau droit du divorce, CEDIDAC 41, 2000, p. 253; Geiser/Senti , in Schneider/ Geiser/Gächter (ed.) Commentaire LPP e LFLP, 2010, ad art. 25a n. 9/10 pp. 1653s; cfr. art. 73 cpv. 1 lett. a LPP). 2.3   Giusta l’art. 22 cpv. 1 LFLP in caso di divorzio le prestazioni d'uscita acquisite durante il matrimonio sono divise conformemente agli artt. 122, 123 CC e agli artt. 280 e 281 CPC (rispettivamente, sino al 31 dicembre 2010, conformemente agli artt.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Per la ripartizione degli averi previdenziali in caso di divorzio determinante è di principio la data della crescita in giudicato (formale) della relativa sentenza (DTF 132 V 236).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34.00.27-28 del 12 marzo 2001).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(la chiave di ripartizione decisa dal giudice del divorzio è vincolante per il giudice di cui agli artt. 25a LFLP e 73 LPP; DTF 132 V 337, 130 III 341, 128 V 46 e STF B 48/06 dell’8 marzo 2007) , non appena gli sia stata deferita la controversia; sia i coniugi che gli istituti di previdenza professionale hanno qualità di parte in questa procedura. Il giudice impartisce loro un termine adeguato per inoltrare le rispettive conclusioni. In assenza di conclusioni il giu-dice decide in base agli atti (Messaggio sulla revisione del Codice civile svizzero del 15 novembre 1995, FF 1996 I 122, 233.46). 2.4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 2.5 2.5.1 D alla documentazione acquisita agli atti e dalle (incontestate) dichiarazioni di parte risulta che AT 1, già assicurato all’allora __________ e, a far tempo dal 1. maggio 2010, assicurato alla AT 2 (cfr. IX), nel periodo determinante ai fini del presente giudizio, ossia dalla data del matrimonio sino al passaggio in giudicato del divorzio, ha accumulato un avere pre-videnziale divisibile di CHF 244'924.10, importo rettamente calcolato dall’attuale istituto di previdenza tenendo conto anche de-gli interessi maturati sino al divorzio sulla prestazione presente al momento del matrimonio (cfr. VI/bis; cfr. supra consid. 2.3). 2.5.2   AT 1, che al momento del matrimonio non risulta disponesse di averi previdenziali, è stata invece assicurata la prima volta da novembre 2008 ad agosto 2010, la seconda da settembre 2009 ad agosto 2012, all’__________ (già __________). L’avere complessivo ivi accumulato, incluso il capitale previdenziale precedentemente acquisito e depositato, sino all’entrata nel suddetto istituto di previdenza cantonale su una polizza di libero passaggio di __________ (cfr. VII/5), è stato trasferito nel marzo 2013 su un conto di libero passaggio della CV 2, dove alla crescita in giudicato del divorzio l’ex coniuge disponeva di un avere divisibile di CHF 64'030.52 (cfr. XI). 2.5.3   Dal fascicolo non si evince per il resto che durante il matrimonio siano stati effettuati prelievi anticipati per il finanziamento dell’a-bitazione giusta l’art. 30c LPP, ciò che avrebbe di principio influito sulla determinazione degli averi previdenziali da ripartire (sul punto cfr. DTF 133 V 29, 132 V 332). 2.5.4 Richiamata la chiave di ripartizione stabilita dal Pretore (cfr. supra consid. 1.1), a favore di CV 1 spetta quindi a saldo (art. 122 cpv. 2 CC; DTF 129 V 254) un accredito di CHF 90'446.80 ([244'924.10 – 64'030.52] : 2). 2.6 Per applicazione analogica degli articoli 3 a 5 LFLP, l'avere cui il coniuge ha diritto deve essere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(STF 9C_610/2010 del 6 dicembre 2010). La somma di CHF 90'446.80, unitamente agli interessi compensativi – al tasso minimo (per quanto concerne la parte obbligatoria; STF  9C_227/2009 del 25 settembre 2009) di cui ai combinati artt. 8a cpv. 1 OLP e 12 OPP2, rispettivamente, nella misura in cui superiore, a quello praticato dall'istituto debitore – maturati a far tempo dal 5 febbraio 2014 e sino al momento dell'effettivo trasferimento (DTF 129 V 255; STFA B 73/02 dell’8 aprile 2003, B 113/02 dell’8 luglio 2003), dovrà pertanto essere accreditata, da parte della AT 2, a favore di CV 1 sul conto di libero passaggio ad essa intestato presso l’CV 2.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 2.7   La procedura è gratuita (art. 73 cpv. 2 LPP, art. 29 cpv. 1 Lptca). Non si assegnano ripetibili. Per questi motivi dichiara e pronuncia 1.-   L’avere di previdenza acquisito da AT 1 durante il matrimonio e soggetto a divisione ammonta a CHF 244'924.10 . 2.-   L’avere di previdenza acquisito da CV 1 durante il matrimonio e soggetto a divisione ammonta a CHF 64'030.52. 3.-   E' fatto ordine alla AT 2 di versare a favore di CV 1, sul conto di libero passaggio n. __________ presso la CV 2, la somma di CHF 90'446.80 oltre interessi compensativi ai sensi dei considerandi dal 5 febbraio 2014. 4.-   Non si percepisce tassa di giustizia, mentre le spese sono poste a carico dello Stato. Non si assegnano ripetibili.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