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34.2013.35 vom 2. Dezember 2013</w:t>
      </w:r>
    </w:p>
    <w:p>
      <w:r>
        <w:t>TI Tribunale d'appello, 2013-12-02, IT</w:t>
      </w:r>
    </w:p>
    <w:p>
      <w:r>
        <w:rPr>
          <w:b/>
        </w:rPr>
        <w:t xml:space="preserve">Quelle: </w:t>
      </w:r>
      <w:r>
        <w:t>https://mcp.opencaselaw.ch/entscheid/ti_gerichte_34.2013.35</w:t>
      </w:r>
    </w:p>
    <w:p>
      <w:r>
        <w:t>FR: TI_GERICHTE 34.2013.35 du 2 décembre 2013</w:t>
      </w:r>
    </w:p>
    <w:p>
      <w:r>
        <w:t>IT: TI_GERICHTE 34.2013.35 del 2 dicembre 2013</w:t>
      </w:r>
    </w:p>
    <w:p>
      <w:pPr>
        <w:pStyle w:val="Heading2"/>
      </w:pPr>
      <w:r>
        <w:t>Regeste</w:t>
      </w:r>
    </w:p>
    <w:p>
      <w:r>
        <w:t>Divisione degli averi previdenziali a seguito di divorzio; delibazione di sentenza straniera in via pregiudiziale</w:t>
      </w:r>
    </w:p>
    <w:p>
      <w:pPr>
        <w:pStyle w:val="Heading2"/>
      </w:pPr>
      <w:r>
        <w:t>Erwägungen</w:t>
      </w:r>
    </w:p>
    <w:p>
      <w:r>
        <w:rPr>
          <w:b/>
        </w:rPr>
        <w:t>E. 2</w:t>
      </w:r>
    </w:p>
    <w:p>
      <w:r>
        <w:t>Cassa Pensione __________ in materia di previdenza professionale (divisione degli averi previdenziali a causa di divorzio; delibazione di sentenza straniera in via pregiudiziale) considerato in fatto e in diritto 1.1 Con sentenza 2 marzo 2013, passata in giudicato – a seguito di rinuncia all’impugnazione –  il 12 marzo 2013, il Tribunale Civile di __________ ha pronunciato la cessazione degli effetti civili del matrimonio contratto da CO 1 e AT 1 il 25 maggio 1985, confermando – per quanto qui interessa – la regolamentazione concordata tra le parti riguardante la divisione a metà, conformemente all’art. 122 CC, a favore della moglie dell’avere previdenziale accumulato dal marito durante il matrimonio (doc. B) . 1.2   Con istanza 12 luglio 2013 AT 1 si è rivolta alla Pretura di __________ chiedendo il riconoscimento della suddetta sentenza del Tribunale Civile di __________ ai fini dell’esecuzione del riparto (cfr. I). Il 16/17 luglio 2013 la Pretura ha trasmesso per ragione di competenza l’istanza di cui sopra allo scrivente Tribunale cantonale delle assicurazioni (TCA) (cfr. II). 1.3   Il TCA ha quindi chiesto a CO 1 di confermare di non opporsi alla delibazione, di comunicare i nominativi di tutti gli istituti di previdenza cui è stato assicurato dalla data del matrimonio sino al passaggio in giudicato del divorzio, nonché degli eventuali istituti presso cui detiene o deteneva conti o polizze di libero passaggio ed ha infine richiesto, anche alla ex moglie, ulteriori informazioni necessarie ai fini della divisione (cfr. III). Sulla base delle informazioni fornite dagli ex coniugi (cfr. IV, V) e stante la non opposizione dell’ex marito alla delibazione, il TCA ha chiesto alla Cassa Pensione __________, unico istituto di previdenza svizzero cui CO 1 è stato (ed è attualmente) assicurato, di determinarsi in merito alla divisione nonché di fornire le necessarie informazioni (art. 25a cpv. 2 LFLP). Delle singole prese di posizione delle parti si dirà, per quanto occorra, nei considerandi successivi.</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w:t>
      </w:r>
    </w:p>
    <w:p>
      <w:r>
        <w:rPr>
          <w:b/>
        </w:rPr>
        <w:t>E. 2.2</w:t>
      </w:r>
    </w:p>
    <w:p>
      <w:r>
        <w:t>Delibazione 2.2.1   La procedura di riconoscimento di decisioni straniere è definita all’art. 29 LDIP (RS 291); la richiesta è in particolare indirizzata all’autorità competente del cantone in cui è invocata la decisione straniera; s e una decisione è fatta valere in via pregiudiziale, l’autorità adìta può procedere essa stessa al giudizio di delibazione (art. 29 cpv. 3 LDIP). Dall’istanza 12 luglio 2013 di AT 1 si evince in concreto la volontà di quest’ultima sia di ottenere la delibazione della sentenza resa dal Tribunale Civile di __________, laddove essa statuisce in materia di ripartizione degli averi previdenziali, sia la consecutiva esecuzione della divisione da parte del tribunale competente. In caso di divorzio pronunciato all’estero, in applicazione dei combinati artt. 73 cpv. 3 LPP e 25a LFLP dev’essere ricono-sciuta la competenza del Tribunale dove ha sede l’istituto di previdenza rispettivamente del luogo dell’azienda presso cui l’assicurato fu assunto ( Bucher , Rechtsmittel der Versicherten gemäss APF im Bereich der Sozialen Sicherheit, in Schaffauser/ Schürer (ed.), Rechtschutz der Versicherten und der Versi-cherer gemäss Abkommen EU/CH über die Personenfreizügigkeit (APF) im Bereich der Sozialen Sicherheit, 2002, p. 121 n. 44; Cardinaux , Das Personenfreizügigkeitsabkommen und die schweizerische berufliche Vorsorge, 2008, pp. 697s n. 1599). 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 Leuzinger-Naef , Die familienbezogene Rechtsprechung der sozialrechtlichen Abteilung des Bundesgerichts im Jahre 2009, in  FamPra 2011 p. 138 e da Meyer/Uttinger , Die Rechtsprechung des Bundesgerichts zum BVG, 2005-2009 (Teil 2), in SZS 2010 p. 236; cfr. anche la sentenza del tribunale cantonale giurassiano dell’8 novembre 2010, pubblicata in RJJ 3/10 pp. 245ss). Stante quanto sopra, allo scrivente Tribunale cantonale delle assicurazioni compete giusta l’art. 73 cpv. 3 LPP l’esecuzione della postulata divisione degli averi previdenziali accumulati in costanza di matrimonio da CO 1, che dal 1. gennai-o 1990 svolge attività lavorativa nel Cantone Ticino alle dipendenze di __________ (cfr. V, VII). Al TCA compete quindi pure, in via incidentale (pregiudiziale) ai sensi del summenzionato art. 29 cpv. 3 LDIP, il giudizio di delibazione, ossia di riconoscimento e di dichiarazione di esecutività (exequatur) della sentenza del Tribunale di __________ laddove essa ha per oggetto la compensazione delle aspettative previdenziali tra gli ex coniugi (in argomento cfr. Schneider/Bruchez , La prévoyance professionnelle et le divorce, in Le nouveau droit du divorce, 2000, p. 219, nota 110 con rinvio agli artt. 29 cpv. 3 LDIP e 26 cpv. 3 della Convenzione di Lugano).</w:t>
      </w:r>
    </w:p>
    <w:p>
      <w:r>
        <w:rPr>
          <w:b/>
        </w:rPr>
        <w:t>E. 2.2.2</w:t>
      </w:r>
    </w:p>
    <w:p>
      <w:r>
        <w:t>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rPr>
          <w:b/>
        </w:rPr>
        <w:t>E. 2.2.3</w:t>
      </w:r>
    </w:p>
    <w:p>
      <w:r>
        <w:t>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Gmünder , A-nerkennung und Vollstreckung von ausländischen Scheidungsurteilen unter besonderer Berücksichtigung von kindesrechtlichen Nebenfolgen, tesi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Al momento della pronunzia del divorzio CO 1 e AT 1 erano domiciliati a __________ (__________) rispettivamente a __________ (__________). A norma  dell’art. 26 lett. a LDIP (domicilio del convenuto nello Stato del giudizio) la competenza del Tribunale Civile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12 marzo 2013, come attestato dalla stampiglia apposta sull'esemplare della sentenza versata agli atti (sub doc. B). 2.2.4   Nel caso di sentenze di divorzio pronunciate all’estero, per quel che concerne gli averi previdenziali depositati presso istituti di previdenza svizzeri, il giudice straniero del divorzio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artt. 141 e 142 vCC in vigore sino al 31 dicembre 2010) e non è quindi stata prodotta alcuna attestazione da parte loro concernente l’attua-bilità di una divisione, deve limitare il proprio giudizio alla fissazione del principio e delle proporzioni della divisione, deve cioè limitarsi a stabilire la chiave di riparto – rispettivamente, se del caso, un’equa indennità ex art. 124 CC o la rinuncia ex art. 123 CC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il suevocato art. 27 cpv. 2 LDIP, sulla scorta delle considerazioni che precedono, in difetto di un accordo ai sensi del-l’art. 280 CPC (art. 141 cpv. 1 vCC) munito di attestazione da parte dell’istituto previdenziale interessato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12 marzo 2013 del Tribunale Civile di __________, laddove statuisce in materia di compensazione delle a-spettative previdenziali, è suscettibile di essere riconosciuta e dichiarata esecutiva limitatamente a ciò che a detto Tribunale competeva decidere, ovvero alla fissazione delle proporzioni del riparto rispettivamente all’omologazione dell’accordo raggiunto dagli ex coniugi sulle proporzioni della divisione (cfr. supra consid. 1.1).</w:t>
      </w:r>
    </w:p>
    <w:p>
      <w:r>
        <w:rPr>
          <w:b/>
        </w:rPr>
        <w:t>E. 2.3</w:t>
      </w:r>
    </w:p>
    <w:p>
      <w:r>
        <w:t>Divisione 2.3.1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 Cardinaux , op. cit., p. 697 n. 1599). Come già accennato, i coniugi e gli istituti di previ-denza hanno qualità di parte in questa procedura. Il giudice impartisce loro un termine adeguato per inoltrare le rispettive conclusioni (art. 25a cpv. 2 LFLP). In assenza di conclusioni il giudi-ce decide in base agli atti (Messaggio sulla revisione del Codice civile svizzero del 15 novembre 1995, FF 1996 I 122, 233.46). Secondo l’art. 22 cpv. 1 LFLP in vigore dal 1. gennaio 2011 in caso di divorzio le prestazioni d'uscita acquisite durante il matri-monio sono divise conformemente agli artt. 122, 123 CC e agli artt. 280 e 281 CPC (secondo l’art. 22 cpv. 1 LFLP in vigore sino al 31 dicembre 2010 le prestazioni sono divise conformemente agli artt. 122, 123,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w:t>
      </w:r>
    </w:p>
    <w:p>
      <w:r>
        <w:rPr>
          <w:b/>
        </w:rPr>
        <w:t>E. 2.3.2</w:t>
      </w:r>
    </w:p>
    <w:p>
      <w:r>
        <w:t>Nel caso in esame, dalla documentazione acquisita agli atti e dalle (incontestate) dichiarazioni di parte risulta che CO 1 – che non era assicurato ai fini previdenziali al momento del matrimonio (25 maggio 1985) giusta l’art. 22 cpv. 2 LFLP, né disponeva in tale data di averi pensionistici precedentemente accumulati – è assicurato a far tempo dal 1. gennaio 1990 alla Cassa Pensione __________ dove alla crescita in giudicato del divorzio (12 marzo 2013, momento determinante ai fini della divisione; DTF 132 V 236) disponeva di una prestazione d’uscita divisibile di CHF 80'941.60 (cfr. VII), ritenuto che il capitale che egli stesso, nelle more della presente procedura, ha dichiarato di aver percepito a titolo di trattamento di fine rapporto dopo cessazione, a fine dicembre 1989, di un precedente impiego in  (cfr. V), non rientra nel campo d’applicazione degli artt. 122 CC e 22 e segg. LFLP (sul punto cfr. STCA 34.2007.6 del 14 maggio 2007). Dal fascicolo emerge inoltre che durante l’affiliazione presso la Cassa Pensione, per l’esattezza il 30 giugno 2003, egli ha effettuato un prelievo di CHF 50'000.-- per il finanziamento dell’abitazione primaria (cfr. V, VII). Considerato il surriferito prelievo in costanza di matrimonio e ri-cordato come capitali previdenziali prelevati per il finanziamento dell’abitazione primaria – e per i quali sussiste ancora, come nella presente fattispecie è dato ritenere, l’obbligo di rimborso alla crescita in giudicato del divorzio (DTF 128 V 235 consid. 3b) – non perdono la loro natura previdenziale ma mantengono il proprio valore nominale (in casu senza interessi non sussistendo alcun avere previdenziale al momento del matrimonio; cfr. DTF 135 V 436, 442)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il capitale previdenziale di CO 1 suscettibile di essere ripartito assomma a CHF 130'941.60 ( 80'941.60 + 50'000 ). Richiamata la chiave di ripartizione stabilita dalla giudice del divorzio (cfr. supra consid. 1.1), a favore di AT 1 spetta un accredito di CHF 65'470.80 ( 130'941.60 : 2). 2.3.3   Per applicazione analogica degli art.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In virtù dell’art. 25f cpv. 1 lett. a LFLP, 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 Spetta al riguardo all’interessato comprovare l’adempi-mento dei presupposti per il versamento in contanti della prestazione di uscita, quindi non solo la definitiva partenza dalla Svizzera ma anche il non assoggettamento obbligatorio ad un’assicurazione sociale estera, che deve essere certificato dalla preposta autorità del luogo del nuovo domicilio ( Cardinaux , op. cit., n. 1459 p. 642, n. 1624 p. 709; Stauffer , Berufliche Vorsorge, 2005, n. 1068 p. 395; vedi anche Bollettino UFAS n. 52 del 31 agosto 2000, p. 4; STCA 34.2008.31 del 9 dicembre 2008; per facilitare sia gli assicurati che gli istituti di previdenza, il Fondo di garanzia LPP, organismo di collegamento con gli Stati membri della CE e dell’AELS [art. 56 cpv. 1 lett. g LPP] ha concluso con alcuni paesi dell’UE, tra cui l’Italia, accordi amministrativi per l’accertamento dell’assoggettamento o meno al-l’assicurazione sociale [in argomento cfr. il promemoria edito dal Fondo di garanzia LPP e scaricabile dal sito www.sfbvg.ch]) . A tale proposito la giurisprudenza federale ha avuto recentemente modo di precisare da un lato che per assicurazione obbligatoria ai sensi dell’art. 25f cpv. 1 lett. a LFLP non si intende solo l’ap-partenenza a un sistema obbligatorio che copra i rischi vecchia-ia, invalidità e decesso a titolo complementare come la LPP, ma ogni sistema sottoposto al regolamento n. 1408/71 che assicura obbligatoriamente tali rischi analogamente a ciò che avviene in Svizzera  per AVS e AI (STF 9C_318/2010 del 18 aprile 2011 pubblicata in DTF 137 V 181 consid. 7.1). Per quanto riguarda l’obbligo di comprovare il non assoggettamento obbligatorio ad un’assicurazione sociale estera, il TF – confermando quanto stabilito dallo scrivente Tribunale nella STCA 34.2009.42 del 1. marzo 2010 – ha precisato che alla persona interessata spetta attivarsi e fornire all’istituto di previdenza le indicazioni atte a di-mostrare di non essere assoggettata ad un’assicurazione obbligatoria, mentre che l’istituto di previdenza deve verificare i dati forniti ed è vincolato alla dichiarazione con cui l’autorità estera conferma o meno l’assoggettamento (DTF 137 V 181 consid. 7.2). Nella fattispecie, dagli atti l’adempimento di suddetta condizione per un eventuale versamento in contanti ai sensi dell’art. 25f cpv. 1 lett. a LFLP non risulta comprovato, l’eventuale necessaria certificazione nel senso sopra indicato potrà comunque essere presentata in seguito all’istituto in appresso indicato, presso cui l’avere di spettanza di AT 1 deve nel frattempo essere trasferito in forma vincolata.</w:t>
      </w:r>
    </w:p>
    <w:p>
      <w:r>
        <w:rPr>
          <w:b/>
        </w:rPr>
        <w:t>E. 2.3.4</w:t>
      </w:r>
    </w:p>
    <w:p>
      <w:r>
        <w:t>In una sentenza del 3 settembre 2009 (9C_1051/2008 e 9C_10/2009), pubblicata in DTF 135 V 324, il TF ha stabilito che nell’ambito di una divisione giusta l’art. 122 CC e gli artt. 22 e 25a LFLP, se l’ex coniuge debitore del credito di compensazione ha beneficiato di un prelievo anticipato (in quella fattispecie trattavasi di prelievo per il finanziamento dell’abitazione) e se gli averi presso il suo istituto previdenziale o di libero passaggio non sono sufficienti per coprire il credito, l’istituto interes-sato è tenuto a trasferire solo gli averi a sua disposizione, spettando per il resto all’ex coniuge debitore di versare la differenza. Nella fattispecie in esame, l’attuale avere di previdenza di spettanza di CO 1 presso la Cassa Pensione __________ ammonta a CHF 90'574.10 (valuta 30 novembre 2013; cfr. XI), importo sufficiente quindi a tacitare il credito dell’ex coniuge, interessi compensativi compresi (cfr. infra consid. 2.3.5). 2.3.5   Stante quanto sopra, la somma di CHF 65'470.80 con gli  interessi compensativi – al tasso minimo (per quanto concerne la parte obbligatoria; cfr. STF 9C_227/2009 del 25 settembre 2009) di cui ai combinati articoli 8a cpv. 1 OLP e 12 OPP2, rispettivamente, nella misura in cui superiore, a quello praticato dall'istituto debitore – maturati a far tempo dal 12 marzo 2013 e sino al momento dell'effettivo trasferimento (DTF 129 V 255, 258; STFA B 73/02 dell’8 aprile 2003, B 94/02 dell’8 aprile 2003, B 113/ 02 dell’8 luglio 2003), dovrà quindi essere accreditata da parte della Cassa Pensione __________ e a favore di AT 1 su un conto di libero passaggio da aprirsi a suo nome presso l’Istituto __________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interessi di mora giusta i combinati articoli 7 OLP e 12 OPP2 (DTF 129 V 257; STFA B 105/02 del 4 settembre 2003).</w:t>
      </w:r>
    </w:p>
    <w:p>
      <w:r>
        <w:rPr>
          <w:b/>
        </w:rPr>
        <w:t>E. 2.4</w:t>
      </w:r>
    </w:p>
    <w:p>
      <w:r>
        <w:t>La procedura è gratuita (art. 73 cpv. c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