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34.2006.55 vom 24. Januar 2007</w:t>
      </w:r>
    </w:p>
    <w:p>
      <w:r>
        <w:t>TI Tribunale d'appello, 2007-01-24, IT</w:t>
      </w:r>
    </w:p>
    <w:p>
      <w:r>
        <w:rPr>
          <w:b/>
        </w:rPr>
        <w:t xml:space="preserve">Quelle: </w:t>
      </w:r>
      <w:r>
        <w:t>https://mcp.opencaselaw.ch/entscheid/ti_gerichte_34.2006.55</w:t>
      </w:r>
    </w:p>
    <w:p>
      <w:r>
        <w:t>FR: TI_GERICHTE 34.2006.55 du 24 janvier 2007</w:t>
      </w:r>
    </w:p>
    <w:p>
      <w:r>
        <w:t>IT: TI_GERICHTE 34.2006.55 del 24 gennaio 2007</w:t>
      </w:r>
    </w:p>
    <w:p>
      <w:pPr>
        <w:pStyle w:val="Heading2"/>
      </w:pPr>
      <w:r>
        <w:t>Regeste</w:t>
      </w:r>
    </w:p>
    <w:p>
      <w:r>
        <w:t>Contributi previdenziali dovuti dal datore di lavoro all'istituto previdenziale. Obbligo di sostanziare il danno patito oltre gli interessi moratori. Il rimborso di anticipi all'Ufficio esecuzione e della tassa d'incasso non può essere fatto valere nell'ambito di una procedura giudiziaria</w:t>
      </w:r>
    </w:p>
    <w:p>
      <w:pPr>
        <w:pStyle w:val="Heading2"/>
      </w:pPr>
      <w:r>
        <w:t>Volltext</w:t>
      </w:r>
    </w:p>
    <w:p>
      <w:r>
        <w:t>Tessin Tribunale cantonale delle assicurazioni 24.01.2007 34.2006.55 Tessin Tribunale cantonale delle assicurazioni 24.01.2007 34.2006.55 Ticino Tribunale cantonale delle assicurazioni 24.01.2007 34.2006.55</w:t>
      </w:r>
    </w:p>
    <w:p>
      <w:r>
        <w:t>Contributi previdenziali dovuti dal datore di lavoro all'istituto previdenziale. Obbligo di sostanziare il danno patito oltre gli interessi moratori. Il rimborso di anticipi all'Ufficio esecuzione e della tassa d'incasso non può essere fatto valere nell'ambito di una procedura giudiziaria</w:t>
      </w:r>
    </w:p>
    <w:p>
      <w:r>
        <w:t>Raccomandata Incarto n. 34.2006.55 rg /td Lugano 24 gennaio 2007 In nome della Repubblica e Cantone Ticino Il vicepresidente del Tribunale cantonale delle assicurazioni Giudice Raffaele Guffi statuendo sulla petizione del 10 ottobre 2006 di AT 1 rappr. da: RA 1 contro CV 1 in materia di previdenza professionale considerato in fatto e in diritto che                              -   con contratto 12 febbraio 2003 la CV 1, quale datore di lavoro, ha aderito con effetto dal 1. gennaio 2003 alla AT 1 (in seguito: Fondazione), allo scopo di attuare la previdenza professionale dei suoi dipendenti; - a seguito del mancato pagamento da parte del datore di lavoro - anche dopo invio di diverse diffide (H, N, P) e la concessione di alcune proroghe di pagamento (doc. L, M) - di arretrati contributivi relativi al periodo 2003-2005 per un ammontare complessivo, di fr. 8'250.75 (valuta 9 novembre 2005, doc. R), sciolto il contratto d’adesione con effetto al 30 agosto 2005 (doc. Q), adite le vie esecutive da ultimo tramite precetto n. __________ dell’UEF di __________ (doc. V), con petizione 10 ottobre 2006 la Fondazione ha chiesto la condanna della CV 1 al pagamento di suddetto importo oltre interessi di mora al 5 % dall’8 settembre 2005, nonché di     fr. 200.-- per spese di mora, fr. 70.-- per spese di precetto,   fr. 9.-- per spese di domanda di esecuzione e fr. 42.25 per tassa d’incasso, postulando pure il rigetto definitivo dell’opposizione al suevocato precetto; -   con la risposta di causa, rispettivamente con successivo scritto 5 dicembre 2006, la convenuta, evidenziando dapprima le difficoltà finanziarie e la relativa mancanza di liquidità dell’azienda, si è dichiarata disposta ad estinguere ratealmente il debito contributivo e chiesto al TCA una verifica dell’importo fatto valere in petizione;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 BVR, 1998 p. 46; Lüthy , Das Rechtsverhältnis zwischen Arbeitgeber und Personalvor- 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nel processo riguardante il versamento di contributi della previdenza professionale l'istituto di previdenza deve sostanziare la pretesa in maniera completa al fine di permetterne l'esame, il principio indagatorio vigente nell'ambito delle assicurazioni sociali ( SVR 1998 UV n. 1; DTF 117 V 263 consid. 1b) avendo i suoi limiti nell'obbligo delle parti di collaborare all'istruzione della causa (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 SZS 2003 p. 500, 2001 p. 562); - nel caso di specie la pretesa attorea appare sufficientemente sostanziata e documentata, nessuna contestazione essendo del resto stata sollevata al riguardo da parte della convenuta. Giusta l'art. 3.3 del contratto d'adesione, il datore di lavoro si impegna a versare direttamente i contributi alla Fondazione (doc. A). L’obbligo contributivo - non contestato e previsto dalla legge e dalle disposizioni contrattuali - dev’essere quindi  riconosciuto, ritenuto che le modalità di calcolo e versamento dei contributi, previste nel contratto d'adesione e nel relativo regolamento di previdenza (doc. A, C), risultano in concreto essere state correttamente applicate. Tenuto conto di questi elementi e di quelli in precedenza ricordati, considerati i versamenti effettuati dal datore di lavoro (doc. E, F), il credito per contributi previdenziali non soluti (compresi interessi passivi [cfr. art. 2.2 contratto], spese di diffida [art. 3.3. contratto] e per scioglimento del contratto [art. 5 contratto]) fatto valere in petizione deve essere riconosciuto, ad eccezione, per i motivi di seguito esposti, degli importi relativi ad asseriti danni di mora e a spese esecutive; -   la Fondazione postula infatti la condanna della convenuta al rimborso di spese di mora per fr. 200.--. Secondo l’art. 106 CO il debitore è tenuto a risarcire anche il danno patito dal creditore eccedente gli interessi moratori, in quanto non provi che non gli incombe alcuna colpa. Affinché possano essere riconosciute tali spese - come lo scrivente Tribunale ha più volte avuto modo di ricordare alla Fondazione qui attrice ( STCA 30 giugno 2006 nella causa N. LCC, 30 giugno 2006 nella causa T.G.I. SA,  7 giugno 2006 nella causa L. D.;  11 aprile 2006  nella causa F.G.I.C. SA, 3 aprile 2006 nella causa T.B. SA) - devono essere dimostrate ( DTF 117 II 258). In concreto l’attrice non ha prodotto i giustificativi atti a sostanziare e quantificare i costi addebitati, che di conseguenza non possono essere riconosciuti. Lo stesso dicasi per i danni di mora che risultano essere stati addebitati sul conto del datore di lavoro in data 25 marzo 2004 (fr. 200.--) rispettivamente in data 8 aprile 2005 (fr. 200.--) e 20 dicembre 2005 (fr. 200.--) (doc. E, F); -   per quel che concerne l’anticipo di complessivi fr. 79.-- all'UEF di __________ (in relazione al PE n. __________) - e che la Fondazione chiede venga posto a carico della ditta convenuta - va precisato che tali spese, come lo scrivente Tribunale ha più volte avuto modo di ricordare all’istituto previdenziale attore ( STCA 30 giugno 2006 nella causa N.LCC, 30 giugno 2006 nella causa T.G.I. SA,  7 giugno 2006 nella causa L. D;  11 aprile 2006  nella causa F.G.I.C. SA, 3 aprile 2006 nella causa T.B. SA), seguono le sorti dell’esecuzione in quanto costituiscono un accessorio del credito che deve essere sopportato dal debitore se non riesce ad opporsi con successo all’esecuzione, in caso contrario dal creditore. Esse sono aggiunte alla somma oggetto di esecuzione per la quale è stato concesso il rigetto ( DTF 71 III 144; Panchaud/Caprez, La mainlevée d’opposition, § 164, p. 414; Ammon , Grundriss des Schuldbetreibungs-und Konkursrechts, 1983, p. 106), senza che sia necessaria un’esplicita pronuncia nel merito ( STCA 21 settembre 1993 nella causa R.B.). Per tale motivo non possono in casu parimenti essere riconosciuti gli anticipi di fr. 79.-- addebitati al datore di lavoro il 14 aprile 2004 e di fr. 70.-- addebitati il 13 aprile 2005 in relazione a precedenti procedure esecutive avviate ed in seguito abbandonate dalla Fondazione (doc. E, F, I, O); -   anche il postulato rimborso della tassa d'incasso (art. 19 OTLEF) di cui al PE n. __________ dell’UEF di __________ (fr. 42.25),  deve essere disatteso ritenuto che detta tassa, oltre che a non dover essere anticipata dal creditore (art. 4 Rform), in nessuna ipotesi - e quindi nemmeno in caso di esito negativo (per il creditore) della procedura esecutiva - è suscettibile di essere posta a suo carico; - ne consegue che il credito complessivo di spettanza della Fondazione nei confronti della CV 1 deve essere cifrato in fr. 7'501.75; - per quanto attiene alla proposta di pagamento dilazionato del debito contributivo, formulata dalla convenuta nelle more della presente procedura, l’esame della stessa non compete allo scrivente Tribunale ma dovrà semmai essere (ri)discussa (cfr. doc. L, T) con l’istituto previdenziale interessato; -   la Fondazione chiede anche il versamento di interessi di mora al 5 % dall’8 settembre 2005. Giusta l'art. 66 cpv. 2 LPP, sui contributi non pagati alla scadenza, l'istituto di previdenza può pretendere interessi di mora ( Brühwiler , op. cit., p. 46; SZS 1990 p. 89; art. 3.3 contratto d'adesione). In concreto, poiché la convenuta è palesemente in mora con il pagamento dei contributi e il tasso del 5% richiesto corrisponde a quello legale (art. 104 CO), la domanda dev'essere accolta; - l’attrice chiede la pronuncia del rigetto definitivo dell'opposi- zione interposta al precetto esecutivo n. __________ dell’UEF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il tema della rifusione delle ripetibili non è regolato dalla LPP. L’art. 22 cpv. 1 LPTCA dispone che il ricorrente che vince la causa ha diritto nella misura stabilita dal giudice al rimborso delle spese processuali, dei disborsi e delle spese di patrocinio. Il diritto è riservato, analogamente all’art. 61 cpv. 1 lett. g LPGA,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 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non complessità della causa, non si giustifica l'assegnazione di ripetibili. Per questi motivi dichiara e pronuncia 1.- La petizione è parzialmente accolta . §   La __________ è condannata a versare alla AT 1 fr. 7'501.75 oltre interessi al 5% dall’8 settembre 2005. §§ E’ rigettata in via definitiva l’opposizione al PE  n. __________ dell’UEF di __________ limitatamente all’importo di fr. 7'501.75 oltre interessi al 5% dall’8 settembre 2005.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