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34.2006.37 vom 29. Mai 2007</w:t>
      </w:r>
    </w:p>
    <w:p>
      <w:r>
        <w:t>TI Tribunale d'appello, 2007-05-29, IT</w:t>
      </w:r>
    </w:p>
    <w:p>
      <w:r>
        <w:rPr>
          <w:b/>
        </w:rPr>
        <w:t xml:space="preserve">Quelle: </w:t>
      </w:r>
      <w:r>
        <w:t>https://mcp.opencaselaw.ch/entscheid/ti_gerichte_34.2006.37</w:t>
      </w:r>
    </w:p>
    <w:p>
      <w:r>
        <w:t>FR: TI_GERICHTE 34.2006.37 du 29 mai 2007</w:t>
      </w:r>
    </w:p>
    <w:p>
      <w:r>
        <w:t>IT: TI_GERICHTE 34.2006.37 del 29 maggio 2007</w:t>
      </w:r>
    </w:p>
    <w:p>
      <w:pPr>
        <w:pStyle w:val="Heading2"/>
      </w:pPr>
      <w:r>
        <w:t>Regeste</w:t>
      </w:r>
    </w:p>
    <w:p>
      <w:r>
        <w:t>Richiesta di pensionamento anticipato. Assoggettamento al CCL PEAN. Assicurato con funzioni direttive</w:t>
      </w:r>
    </w:p>
    <w:p>
      <w:pPr>
        <w:pStyle w:val="Heading2"/>
      </w:pPr>
      <w:r>
        <w:t>Erwägungen</w:t>
      </w:r>
    </w:p>
    <w:p>
      <w:r>
        <w:rPr>
          <w:b/>
        </w:rPr>
        <w:t>E. 10</w:t>
      </w:r>
    </w:p>
    <w:p>
      <w:r>
        <w:t>settembre 2003 nella causa C., B 28/01). Di conseguenza nel caso in esame, visto che l’attore ha postulato il pensionamento anticipato dal 1. giugno 2005 e oggetto della lite è il diritto alla relativa rendita dovuta da quel momento, tornano applicabili le disposizioni di diritto materiale della 1. revisione della LPP del 3 ottobre 2003, in vigore dal 1° gennaio 2005, eventualmente pertinenti (cfr. STFA del 26 novembre 2003 nella causa J., U 158/03; STFA del 24 maggio 2004 nella causa M., C 205/03 consid. 1). 2.7.   Oggetto della lite è la richiesta dell’attore di beneficiare, a far tempo dal 1° gennaio 2006, vale a dire ad avvenuto compimento dei 61 anni d’età, del pensionamento anticipato mediante attribuzione della rendita transitoria prevista dal CCL __________ e dal Regolamento __________. La fondazione convenuta respinge la pretesa ritenendo che il richiedente non soddisfi un requisito cumulativo per l’attribuzione della stessa quale quello dell’adempimento, prima della domanda, di un periodo d’attività lavorativa di 15 anni, rispettivamente gli ultimi sette ininterrottamente, presso un’azienda sottoposta al CCL. 2.8.   Secondo l’art. 13 cpv. 1 LPP, hanno diritto alle prestazioni di vecchiaia: a) gli uomini che hanno compiuto i 65 anni; b) le donne che hanno compiuto i 64 anni. Il capoverso 2 dell’art. 13 LPP stabilisce che le disposizioni regolamentari dell’istituto di previdenza possono stabilire, in deroga al capoverso 1, che il diritto alle prestazioni di vecchiaia sorga alla cessazione dell’attività lucrativa. In questo caso, l’aliquota di conversione (art. 14) è corrispondentemente adattata. 2.9.   Nella fattispecie la pretesa dell’attore è fondata sul Contratto collettivo di lavoro per il pensionamento anticipato nel settore dell'edilizia principale (CCL __________) concluso il 12 novembre 2002 e entrato in vigore il 1. luglio 2003 e sul relativo Regolamento __________ (doc. 16). Il CCL __________ è un contratto collettivo di lavoro stipulato tra la Società __________, da una parte, e il Sindacato __________ dall’altra, allo scopo di tenere in debita considerazione le sollecitazioni fisiche cui sono sottoposti i lavoratori nel settore dell’edilizia principale e di attenuarne le conseguenze in età avanzata e, quindi, di offrire ai lavoratori edili un pensionamento anticipato volontario finanziariamente sostenibile negli ultimi cinque anni che precedono l’età ordinaria di pensionamento AVS (cfr. Preambolo, doc. 16). Preposta all’attuazione del CCL è la “Fondazione per il pensionamento anticipato nel settore dell’edilizia principale (Fondazione CV 1)”, la quale è competente per l’intera attuazione del CCL (art. 23 CCL __________, doc. 16). La stessa è stata istituita nel marzo 2003 (doc. 20-22) e, in applicazione dei suoi statuti e in osservanza del CCL, ha emanato il Regolamento __________ (doc. 16) che disciplina concretamente il pensionamento anticipato (cfr. il Preambolo e l’art. 1 del Regolamento __________) e che è applicabile alle imprese e alle categorie di lavoratori assoggettate al CCL __________ nonché alle imprese e alle categorie di lavoratori assoggettate mediante la dichiarazione di obbligatorietà generale (art. 3 Regolamento __________, doc. 16). I fondi per il finanziamento del pensionamento anticipato provengono principalmente dai contributi dei lavoratori (1% del salario determinante) e dei datori di lavoro (4% del salario determinante) (cfr. gli art. 7 e 8 CCL e gli art. 5, 7, 8 Regolamento __________, doc. 16). Va detto infine che in ossequio a quanto disposto dall’art. 5 del CCL, le parti contraenti hanno postulato la dichiarazione di obbligatorietà generale al CCL. Con Decreto del 5 giugno 2003 (entrato in vigore il 1. luglio 2003) il Consiglio Federale, in applicazione della Legge federale concernente il conferimento del carattere obbligatorio generale al contratto collettivo di lavoro del 28 settembre 1956 (SR 221.215.311), ha conferito obbligatorietà generale al CCL __________ per tutto il territorio svizzero ad eccezione del Canton __________ e di alcune imprese espressamente designate (doc. 22). 2.10.   Facendo uso della facoltà di cui all’art. 13 cpv. 2 LPP e nel rispetto della libertà contrattuale individuale nella previdenza professionale per quanto compatibile con il mantenimento di un livello di vita adeguato (cfr. l’art. 6 LPP, cfr. Brühwiler, Die betriebliche Personalvorsorge in der Schweiz, Berna 1989 p. 247; Riemer, Verhältnis des BVG zu anderen Sozialversicherungszweigen und zum Haftpflichtrecht, SZS 1987, p. 123/124) il CCL __________ e il relativo regolamento della fondazione convenuta prevedono dunque la possibilità di chiedere il pensionamento anticipato nella forma di una rendita transitoria. L’art.</w:t>
      </w:r>
    </w:p>
    <w:p>
      <w:r>
        <w:rPr>
          <w:b/>
        </w:rPr>
        <w:t>E. 13</w:t>
      </w:r>
    </w:p>
    <w:p>
      <w:r>
        <w:t>del Regolamento __________ (Rendita transitoria) (di tenore analogo lart.</w:t>
      </w:r>
    </w:p>
    <w:p>
      <w:r>
        <w:rPr>
          <w:b/>
        </w:rPr>
        <w:t>E. 14</w:t>
      </w:r>
    </w:p>
    <w:p>
      <w:r>
        <w:t>CCL __________) prevede:</w:t>
      </w:r>
    </w:p>
    <w:p>
      <w:r>
        <w:t>Quanto alle norme di applicazione previste dal contratto collettivo, le parti hanno concordato lattuazione congiunta ai sensi dellart. 357b CO e a tale scopo hanno istituito, come detto, la Fondazione CV 1.</w:t>
      </w:r>
    </w:p>
    <w:p>
      <w:r>
        <w:t>Riguardo alla procedura di domanda per il pensionamento anticipato, lart. 25 del Regolamento __________ dispone quanto segue:</w:t>
      </w:r>
    </w:p>
    <w:p>
      <w:r>
        <w:t>La fondazione decide sulla domanda; se la risposta è negativa il richiedente può sottoporre la stessa al Consiglio di fondazione per verifica, riservato altresì un controllo giudiziario della stessa (art. 28 del Regolamento __________, doc. 16).</w:t>
      </w:r>
    </w:p>
    <w:p>
      <w:r>
        <w:t>Alla luce di quanto disposto dal CCL __________, il Consiglio di fondazione ha emanato un fascicolo denominato Informazioni importanti, fra le quali, alla pagina 5, figura una definizione della categoria di dirigenti del seguente tenore:</w:t>
      </w:r>
    </w:p>
    <w:p>
      <w:r>
        <w:t>Daltra parte, giusta lart. 24 del CCL __________, responsabile dellamministrazione è il Consiglio di fondazione, il quale costituisce contemporaneamente la commissione paritetica e controlla il rispetto del CCL __________ ai sensi dellart. 357b CO (cfr. esplicitamente lart. 24 dellAppendice al Decreto del CF del 5 marzo 2003, RS 221.215.311).</w:t>
      </w:r>
    </w:p>
    <w:p>
      <w:r>
        <w:t>Il Consiglio di Fondazione è costituito pariteticamente da 16 persone e meglio da 6 rappresentanti SSIC, da una parte, e 3 rappresentanti del Sindacato UNIA, 2 del Sindacato Syna e uno dellAssociazione Quadri dellEdilizia svizzera, dallaltra, e fa capo ad un Ufficio Riscossione, ad un Segretariato e ad un Ufficio pagamento oltre che ad un ufficio di revisione esterno e alle sezioni CPP regionali.</w:t>
      </w:r>
    </w:p>
    <w:p>
      <w:r>
        <w:t>Il Consiglio di Fondazione è responsabile delle attività di controllo globale dellapplicazione del CCL __________ in conformità agli statuti della Fondazione (cfr. anche art. 34 Regolamento __________), emana i regolamenti necessari per lattuazione e deve consultare le parti contraenti prima di prendere decisioni (art. 24 CCL __________). Inoltre, disciplina i compiti, le responsabilità e le competenze degli organi amministrativi incaricati dellincasso e dei pagamenti edemana direttive sullattuazione(levidenziatura è della redattrice). Conferisce infine mandati al Segretariato della Fondazione __________ e ne controlla loperato, designa lamministratore e lufficio di revisione esterno e incarica terzi di chiarire determinati aspetti in relazione allapplicazione e allattuazione degli accordi del CCL __________.</w:t>
      </w:r>
    </w:p>
    <w:p>
      <w:r>
        <w:t>Per adempiere ai compiti che gli incombono, il Consiglio di Fondazione è stato suddiviso in tre commissioni: Sorveglianza, Asset Management, Ricorsi (cfr. Modello per i processi della fondazione __________ pubblicato sul sito della CV 1).</w:t>
      </w:r>
    </w:p>
    <w:p>
      <w:r>
        <w:t>Infine, giusta lart. 24 cpv. 4 CCL __________ il regolamento può disciplinare in modo più particolareggiato la riscossione dei contributi, i requisiti per beneficiare delle prestazioni e lerogazione delle stesse. Come detto, facendo uso delle facoltà conferitegli dal CCL, il Consiglio di Fondazione ha emanato il Regolamento __________ (doc. 16) che disciplina concretamente il pensionamento anticipato (cfr. il Preambolo e lart. 1 del Regolamento __________).</w:t>
      </w:r>
    </w:p>
    <w:p>
      <w:r>
        <w:t>Al fine di meglio definire la categoria dei dirigenti, il Consiglio di fondazione ha emanato la già evocata direttiva denominata Definizione Dirigenti recitante, tra laltro, quanto segue:</w:t>
      </w:r>
    </w:p>
    <w:p>
      <w:r>
        <w:t>()</w:t>
      </w:r>
    </w:p>
    <w:p>
      <w:r>
        <w:t>optò per quella senza la dicitura con o senza diritto di firma, poiché ritenuta poco chiara (doc.X/12).</w:t>
      </w:r>
    </w:p>
    <w:p>
      <w:r>
        <w:t>Da quanto precede risulta pertanto che lelaborazione della direttiva sul Personale dirigente è stato il frutto di un approfondito processo decisionale in seno agli organi della Fondazione CV 1, nel pieno rispetto della rappresentanza paritetica (cfr. anche XVII).</w:t>
      </w:r>
    </w:p>
    <w:p>
      <w:r>
        <w:t>In effetti, come rileva con pertinenza la convenuta, lo scopo del CCL __________ è quello di tenere in debita considerazione le sollecitazioni fisiche cui sono sottoposti i lavoratori nel settore delledilizia principale e di attenuarne le conseguenze in età avanzata e, quindi, di offrire ai lavoratori edili un pensionamento anticipato volontario finanziariamente sostenibile negli ultimi cinque anni che precedono letà ordinaria di pensionamento AVS (cfr. Preambolo, doc. 16).</w:t>
      </w:r>
    </w:p>
    <w:p>
      <w:r>
        <w:t>In linea con questo scopo, le parti contraenti, in sede di costituzione, hanno chiaramente definito la tipologia del lavoratore avente diritto alla rendita transitoria. Trattasi segnatamente di lavoratori che sono concretamente sottoposti a sollecitazioni fisiche importanti e dai quali non si può di conseguenza, a causa dellonere fisico importante sopportato, esigere che lavorino sino al compimento del 65esimo anno di età. Solo questi lavoratori devono poter beneficiare del pensionamento anticipato. Di conseguenza, giusta lart. 3 cpv. 3 del CCL __________, lo stesso non è applicabile ai dirigenti, al personale tecnico e amministrativo, né al personale addetto alle mense e alle pulizie delle imprese assoggettate. Questo nella -  legittima - presunzione che queste categorie di lavoratori non siano soggette alle sollecitazioni fisiche cui sono sottoposti i lavoratori delledilizia e che giustificano la rendita transitoria prevista dal CCL __________.</w:t>
      </w:r>
    </w:p>
    <w:p>
      <w:r>
        <w:t>Considerato come il concetto di dirigenti necessitasse di essere meglio precisato, il Consiglio di fondazione ha emanato la direttiva in oggetto, ritenendo di doversi ispirare agli art. 459 segg. CO (cfr. doc. 8). Il contenuto della stessa non può certo ritenersi sprovvisto di ragione o di logica ed è il frutto non di una decisione unilaterale della Fondazione convenuta, ma in definitiva della comune volontà delle parti del CCL, visto che, come si è visto (cfr. consid. 2.13), il Consiglio di Fondazione che lha presa (allunanimità) è un organo rappresentato pariteticamente (cfr. anche XVII).</w:t>
      </w:r>
    </w:p>
    <w:p>
      <w:r>
        <w:t>Questo TCA non ha daltra parte motivo per dubitare della veridicità dellaffermazione della convenuta per la quale di tale direttiva sono state informate tutte le imprese soggette al CCL. In effetti, tale direttiva, unitamente ad altre, è anche pubblicata nel sito ufficiale della Fondazione convenuta, fatto questo che la rende di principio accessibile e quindi vincolante per tutte le ditte e gli assicurati interessati (cfr. Stauffer, op. cit. p. 505 e 509). Del resto tale circostanza non è contestata nemmeno dallattore.</w:t>
      </w:r>
    </w:p>
    <w:p>
      <w:r>
        <w:t>In proposito va detto che a torto lattore rileva come solo il CCL __________, non invece la direttiva in parola, sia stato approvato dal Consiglio Federale, fatto questo che la priverebbe di legittimità. A questo proposito va infatti detto che la Fondazione CV 1 è stata costituita dalle parti contraenti del contratto collettivo quale organo esecutivo ai sensi dellart. 23 CCL __________ con la conseguente attribuzione di competenza e autonomia. Inoltre, risulta evidente che allEsecutivo federale non può competere lapprovazione anche delle singole norme esecutive emanate dagli organi, formati pariteticamente, preposti allattuazione di un contratto collettivo.</w:t>
      </w:r>
    </w:p>
    <w:p>
      <w:r>
        <w:t>Questo TCA deve quindi concludere che  la direttiva in oggetto, in quanto è stata emanata dallorgano preposto allattuazione del CCL __________ al fine di precisare la portata di una norma del CCL il cui concetto era bisognoso di precisazione, deve ritenersi il frutto dellesplicita volontà delle parti contrattuali e, quindi, conforme allo scopo del CCL __________ oltre che rispettosa dei principi costituzionali generali. Nulla osta pertanto alla sua applicabilità.</w:t>
      </w:r>
    </w:p>
    <w:p>
      <w:r>
        <w:t>In effetti, dalla documentazione versata agli atti emerge che lattore ha lavorato per quasi venti anni nel settore edile ticinese (doc. C). Dal luglio 1987 sino al marzo 2004 è stato alle dipendenze della __________, società attiva nel ramo delledilizia, con la qualifica di capo operaio (doc. 14). Dallestratto dal registro di commercio risulta che AT 1 risultava iscritto con la funzione di procuratore con modalità di firma individuale per tale società dallottobre 1986 alla fine di marzo 2004 (doc. A).</w:t>
      </w:r>
    </w:p>
    <w:p>
      <w:r>
        <w:t>In effetti, essendo la __________ una società anonima, torna applicabile la definizione di dirigente contenuta nella direttiva emanata nellagosto 2004 dal Consiglio di Fondazione che nel caso di società per azioni considera dirigenti le persone iscritte a registro di commercio quali presidente del CdA, membri del CdA gerenti, direttori e procuratori.Ritenuto come lattore sia stato iscritto a RC come procuratore (con diritto di firma) della __________ praticamente per tutta la durata della sua collaborazione, e debba quindi essere ritenuto un dirigente ai sensi dellart. 3 cpv. 3 CCL __________, legittimo appare il diniego pronunciato dalla fondazione convenuta, lattore non potendo in effetti beneficiare del pensionamento anticipato in quanto escluso dallapplicabilità del contratto collettivo. Questa conclusione si basa su una corretta applicazione delle norme del CCL __________ e deve essere condivisa da questo TCA.</w:t>
      </w:r>
    </w:p>
    <w:p>
      <w:r>
        <w:t>Per i medesimi motivi appare del tutto sprovvista di fondamento e pertinenza lallegazione dellattore per la quale secondo il Codice delle Obbligazioni le funzioni direttive in una SA siano affidate al Consiglio di amministratore o a singoli amministratori, non invece ai procuratori.</w:t>
      </w:r>
    </w:p>
    <w:p>
      <w:r>
        <w:t>Inoltre, alla luce di queste considerazioni appare del tutto ininfluente la questione di sapere se le mansioni effettivamente svolte dallattore allinterno della __________ fossero atte o meno ad influenzare la volontà sociale della società sua datrice di lavoro.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