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34.2006.28 vom 22. Januar 2007</w:t>
      </w:r>
    </w:p>
    <w:p>
      <w:r>
        <w:t>TI Tribunale d'appello, 2007-01-22, IT</w:t>
      </w:r>
    </w:p>
    <w:p>
      <w:r>
        <w:rPr>
          <w:b/>
        </w:rPr>
        <w:t xml:space="preserve">Quelle: </w:t>
      </w:r>
      <w:r>
        <w:t>https://mcp.opencaselaw.ch/entscheid/ti_gerichte_34.2006.28</w:t>
      </w:r>
    </w:p>
    <w:p>
      <w:r>
        <w:t>FR: TI_GERICHTE 34.2006.28 du 22 janvier 2007</w:t>
      </w:r>
    </w:p>
    <w:p>
      <w:r>
        <w:t>IT: TI_GERICHTE 34.2006.28 del 22 gennaio 2007</w:t>
      </w:r>
    </w:p>
    <w:p>
      <w:pPr>
        <w:pStyle w:val="Heading2"/>
      </w:pPr>
      <w:r>
        <w:t>Regeste</w:t>
      </w:r>
    </w:p>
    <w:p>
      <w:r>
        <w:t>Contributi previdenziali. Legittimazione attiva dell'istituto previdenziale a seguito di cambiamento di ragione sociale. Utilizzo di capitali per misure speciali e di fondi liberi pe il pagamento dei contributi: competenza della commissione di previdenza.</w:t>
      </w:r>
    </w:p>
    <w:p>
      <w:pPr>
        <w:pStyle w:val="Heading2"/>
      </w:pPr>
      <w:r>
        <w:t>Erwägungen</w:t>
      </w:r>
    </w:p>
    <w:p>
      <w:r>
        <w:rPr>
          <w:b/>
        </w:rPr>
        <w:t>E. 22</w:t>
      </w:r>
    </w:p>
    <w:p>
      <w:r>
        <w:t>gennaio 2007 In nome della Repubblica e Cantone Ticino Il vicepresidente del Tribunale cantonale delle assicurazioni Giudice Raffaele Guffi statuendo sulla petizione del 19 giugno 2006 di AT 1 rappr. da: RA 1 contro CV 1 rappr. da: RA 2 in materia di previdenza professionale considerato in fatto e in diritto che                              -   con convenzione 18 novembre/2 dicembre 1996 la CV 1, quale datrice di lavoro, ha aderito con effetto dal 1. gennaio 1997 alla AT 1 (in seguito: Fondazione) - allo scopo di attuare la previdenza professionale dei suoi dipendenti; - a fronte del mancato pagamento dei contributi (e spese) a  far tempo dal 2002 per complessivi fr. 125'074.50, concesse dapprima (nel febbraio 2003) la possibilità di un pagamento rateale secondo un piano d’ammortamento solo parzialmente rispettato dalla società debitrice e, in seguito (nel febbraio 2004) una proroga - infruttuosamente scaduta ciò che ha comportato lo scioglimento del contratto d’adesione con effetto al 30 settembre 2004 - del termine di pagamento dell’intero saldo esigibile, adite le vie esecutive nel dicembre 2005 per l’incasso dell’importo complessivo residuo di fr. 89'506.65 (valuta 11 novembre 2005), oltre interessi al 5 % dal 12 novembre 2005 e danni di mora per fr. 400.--, con petizione 19 giugno 2006 la Fondazione ha chiesto la condanna della CV 1 al pagamento di suddetti importi, postulando pure il rigetto definitivo dell’opposizione interposta al precetto esecutivo n. __________ fatto spiccare dell’UEF di __________; -   con la risposta di causa la convenuta postula la reiezione della petizione contestando l’”esigibilità” del credito contributivo. Essa solleva anzitutto critiche in punto alla base contrattuale su cui l’attrice fonda la propria pretesa, e ciò con riferimento sia alla sostituzione dell’originario contratto n. __________ con il contratto n. __________ sottoscritto in data 18 novembre/2 dicembre 1996, sia alla modifica di numerazione  contrattuale operata nel 2002 (da n. __________ a n. __________). Rimprovera altresì alla Fondazione una non corretta informazione sia in merito a suddetta situazione contrattuale sia per quel che concerne la possibilità, fatta oggetto di esplicita richiesta della CV 1 alla Fondazione nel gennaio 2004, di poter procedere al pagamento del debito contributivo tramite utilizzo di fondi liberi e di quelli accumulati a titolo di misure speciali, averi che nel frattempo, per decisione 17 febbraio 2004 della Commissione di previdenza sono stati ripartiti sui conti di capitale vecchiaia dei singoli assicurati. La convenuta sostiene quindi che l’agire della Fondazione le abbia causato un pregiudizio il cui risarcimento è da porre in compensazione con la pretesa attorea; - nelle ulteriori osservazioni 15 settembre 2006 la Fondazione si è riconfermata nella propria domanda di giudizio, respingendo in toto tesi e pretese di controparte; - con scritto 16 ottobre 2006 la convenuta, oltre a ribadire e precisare le richieste probatorie indicate in risposta di causa (edizione dei contratti n. __________ e __________, audizione testimoniale di __________ e interrogatorio formale di __________ della AT 1), ha sollevato l’eccezione di carenza di legittimazione attiva della Fondazione, facendo al riguardo rilevare come il contratto d’adesione n. __________ del 18 novembre/2 dicembre 1996 sia stato all’epoca sottoscritto non dalla AT 1 bensì dalla __________; - evidenziando l’inconsistenza di suddetta eccezione e la non pertinenza delle summenzionate richieste probatorie, con scritto 19 ottobre 2006 la Fondazione ha ribadito la fondatezza della propria pretesa;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l’eccezione di carenza di legittimazione attiva s’appalesa priva di fondamento. Infatti, se da un lato è vero che a sottoscrivere suddetto contratto è stata all’epoca la __________, è altrettanto vero che questa ragione sociale è stata in seguito (agosto 1997) sostituita da AT 1, istituto previdenziale registrato avente lo scopo di attuare la previdenza professionale del gruppo __________ (cfr. estratti informatizzati RC __________ e RC __________ cfr. Indice centrale delle ditte dell’Ufficio federale del registro di commercio, www. zefix.admin.ch); - oltre la LPP, le norme applicabili al caso di specie sono quindi quelle contenute nel contratto d’adesione n. __________ del 18 novembre/2 dicembre 1996 (doc. A), il quale, per espressa pattuizione delle parti (art. 1), ha annullato e sostituito la precedente convenzione n. __________ e la cui numerazione, a seguito dell’introduzione di una nuova piattaforma informatica (doc. QQ), è stata modificata (da n. __________ a __________) a partire da gennaio 2002. In simili circostanze l’acquisizione agli atti del precedente contratto n.__________ appare superflua e la relativa richiesta di parte convenuta priva di pertinenza. Ne consegue quindi che la normativa disciplinante gli aspetti contributivi ed ogni altra questione nella specie litigiosa risulta in concreto essere disciplinata oltre che dalla legge (in particolare art. 66 LPP), dal contratto d’adesione 18 novembre/2 dicembre 1996 (doc. A) e dai relativi piano di previdenza (doc. B), regolamento di previdenza (XIX/1) e regolamento organizzativo (XIX/2); - la convenuta - in relazione alla richiesta formulata il 26 gennaio 2004 all’attenzione della Fondazione circa la possibilità di utilizzare il conto misure speciali e il patrimonio libero per il pagamento del debito contributivo (doc. 2) - sostiene, come detto, di aver subito un danno da parte dell’istituto previdenziale il quale, nel dare riscontro negativo a quanto richiesto, non l’avrebbe debitamente informata da un lato circa la modifica legislativa che sarebbe entrata in vigore il 1. gennaio 2005 e che, stante la prevista abrogazione dell’art. 70 LPP, avrebbe reso possibile, a partire da tale data, l’utilizzo per il pagamento dei contributi arretrati del capitale depositato sul conto “misure speciali”, d’altro lato circa la possibilità da parte della società datrice di lavoro di poter liberamente utilizzare, sempre per il pagamento dell’arretrato contributivo, il patrimonio libero, nessuna norma legale o contrattuale vietando nella specie siffatta eventualità. La convenuta ritiene quindi di poter compensare il proprio debito contributivo con la propria pretesa (di pari importo) di risarcimento del pregiudizio cagionatole dal non corretto agire della Fondazione; - tali argomenti non hanno pregio. Nella misura in cui infatti - esclusa in concreto l’applicazione dell’art. 52 LPP, legittimati a promuovere un’azione di responsabilità nei confronti delle persone incaricate dell’amministra-zione, della gestione e del controllo dell’istituto di previdenza fondata su tale disposto essendo unicamente gli istituti previdenziali e non il datore di lavoro ( DTF 128 V 127 consid. 4a) - le pretese giustificanti l’invocata compensazione debbano e possano essere nella specie configurate alla stregua di pretese risarcitorie nei confronti dell’istituto previdenziale per violazione o cattiva esecuzione contrattuale oppure per atto illecito (artt. 97ss CO o 41ss CO]) e ammesso e non concesso che l’esame di tale questione (di natura civilistica ed in quanto tale non rientrante nella sfera di competenza del tribunale designato all’art. 73 LPP; SVR 1994 BVG Nr. 2; STFA 10 marzo 2004 [B 37/03], 10 ottobre 2001 [B 27/00], 27 aprile 2004 [B 93/03]; SZS 2005 p. 259s) debba comunque essere esaminata a titolo pregiudiziale nella presente sede ( SVR 1994 BVG Nr. 2; Bollettino UFAS 1999 n. 44 ch. 267), non può che essere rilevato come da nessuna norma legale (in argomento cfr. Lüthy , Das Rechtsverhältnis zwischen Arbeitgeber und Personalvorsorgestiftung, 1989, in particolare pp. 51ss) o contrattuale (cfr. contratto d’adesione [doc. A], regolamento di previdenza [doc. XIX/1] e regolamento organizzativo [doc. XIX/2]) - che del resto neppure parte convenuta invoca - può in concreto essere dedotto un obbligo per l’istituto previdenziale da un lato di informare il datore di lavoro relativamente a modifiche legislative (come quella concernente l’abrogazione, con effetto dal 1. gennaio 2005, dell’art. 70 LPP e quindi la soppressione delle misure speciali) non ancora in vigore, dall’altro di dare informazioni o indicazioni vincolanti per il datore di lavoro in merito all’utilizzo di fondi liberi, competente a decidere in materia essendo per altro nella specie la Commissione di previdenza e non la Fondazione in quanto tale (art. 4 Convenzione d’adesione [Comitato di Cassa], doc. A; cifra 46 Regolamento di previdenza [Commissione di previdenza], doc. XIX/1; art. 4 [Commissione di previdenza], in particolare 4.6.2 Regolamento organizzativo, doc. XIX/2;  art. 51 cpv. 1 LPP nel suo tenore in vigore sino al 31 marzo 2004; Bulletin LPP 54/2000 ch. 328; ST 2000 477). Per il resto, contrariamente all’assunto di parte convenuta - secondo cui essa potrebbe liberamente disporre dei fondi liberi in assenza di disposizioni contrattuali di senso contrario - i fondi liberi non sono a libera disposizione del datore di lavoro ma il loro utilizzo deve essere deciso dal competente organo, in casu dalla Commissione di previdenza (sulle possibilità di finanziamento di contributi previdenziali tramite fondi liberi cfr. in particolare Loser , in SZS 2005 pp. 403ss, Bulletin LPP 54/2000 ch. 328). E’ bene infine ricordare che competente a conoscere eventuali contestazioni in materia di utilizzo di fondi liberi, deciso dal competente organo statutario, è l’autorità di vigilanza e non il tribunale designato all’art. 73 LPP (in argomento Rüggli-Wüest , in PPS 4/1998 p. 283ss; STF</w:t>
      </w:r>
    </w:p>
    <w:p>
      <w:r>
        <w:rPr>
          <w:b/>
        </w:rPr>
        <w:t>E. 26</w:t>
      </w:r>
    </w:p>
    <w:p>
      <w:r>
        <w:t>agosto 2002 [2A.30/2002]); - sull’ammontare dei contributi non soluti pari a fr. 89'506.65 - importo non contestato dalla convenuta - l’attrice chiede la corresponsione di interessi di mora al 5 % dal 12 novembre 2005. Giusta l'art. 66 cpv. 2 LPP, sui contributi non pagati alla scadenza, l'istituto di previdenza può pretendere interessi di mora ( Brühwiler , Obligatorische berufliche Vorsorge, in: Schweizerisches Bundesverwaltungsrecht, 1998, p. 46; SZS 1990 p. 89). In concreto, poiché la convenuta è palesemente in mora con il pagamento dei contributi e il tasso del 5% richiesto corrisponde a quello legale (art. 104 CO), la domanda dev'essere accolta; -   per quanto riguarda i danni di mora conteggiati per un ammontare complessivo di fr. 400.--, gli stessi non possono essere riconosciuti. Secondo l’art. 106 CO il debitore è infatti tenuto a risarcire anche il danno patito dal creditore eccedente gli interessi moratori, in quanto non provi che non gli incombe alcuna colpa. Tali spese affinché possano essere riconosciute - come lo scrivente Tribunale ha più volte avuto modo di ricordare ( STCA</w:t>
      </w:r>
    </w:p>
    <w:p>
      <w:r>
        <w:rPr>
          <w:b/>
        </w:rPr>
        <w:t>E. 30</w:t>
      </w:r>
    </w:p>
    <w:p>
      <w:r>
        <w:t>giugno 2006 nella causa N.LCC, 30 giugno 2006 nella causa T.G.I. SA,  7 giugno 2006 nella causa L. D;  11 aprile 2006  nella causa F.G.I.C. SA, 3 aprile 2006 nella causa T.B. SA); - l’attrice chiede la pronuncia del rigetto definitivo dell’opposizione interposta al precetto esecutivo n. __________ dell’UEF di __________. Secondo la giurisprudenza federale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 DTF 107 III 60ss). Il principio é che qualora il creditore segua la procedura dell'art. 79 e quindi intenti un'azione in riconoscimento del credito non debba, vistosi riconoscere definitivamente il credito, adire successivamente la procedura dell'art. 80 LEF ( Adler , in: Droit privé et assurances sociales, 1990, pp. 241ss, 251 e 252). La condizione aggiuntiva introdotta dalla citata giurisprudenza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 112 V 111 con riferimenti), il diritto a ripetibili poteva essere dedotto dall'art. 4 vCF così come non è deducibile dall'art. 6 CEDU. Spetta ai cantoni prevederlo ( DTF 117 V 403). Vi ha provveduto, nel Ticino, la LPTCA che prevede che "il ricorrente che vince la causa ha diritto nella misura stabilita dal giudice al rimborso delle spese processuali, dei disborsi e delle spese di patrocinio" (art. 22 cpv. 1). Il diritto è riservato, analogamente alle norme di diritto federale succitate, al solo ricorrente. Il motivo di questo privilegio è esposto dal TFA nella sentenza 7 dicembre 1989 nella causa D.W. (pubblicata in RAMI 1990 U 98 p. 195) a proposito dell'art. 108 LAINF, dove è stato precisato che scopo della norma è di consentire all'assicurato, spesso socialmente debole, di far valere in giustizia le sue pretese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126 V 150, 112 V 361; SZS 2001 p. 174; STCA 9 marzo 1992 nella causa F.P. c. S. 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 323 , 127 V 207, 126 V 150, 110 V 135, AHI Praxis 2000 p. 337; RCC 1984 p. 278).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 AHI Praxis 1998 p. 189; STFA 13 luglio 1998 nella causa T.). La temerarietà è inoltre data nel caso in cui una parte viola un obbligo che le compete (ad esempio l'obbligo di collaborare o di astenersi dal compiere un determinato atto; DTF 124 V 288,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28 gennaio 1998 nella causa FICLPP contro P. Sagl). Nel caso concreto, pur considerando l’inconsistenza di talune argomentazioni addotte dalla convenuta, una temerarietà o leggerezza nel senso della succitata giurisprudenza non è nella specie ravvisabile, per il che non si giustifica l’assegnazione di ripetibili a parte attrice ancorché patrocinata da un avvocato; - la convenuta ha chiesto l’audizione testimoniale, rispettivamente l’interrogatorio formale di alcuni responsabili della AT 1. Il diritto di essere sentito di cui all'art. 29 cpv. 2 Cost. - che include tra l'altro anche il diritto di fornire prove rilevanti riguardanti fatti giuridicamente determinanti ( DTF 127 I 56, 126 V 130) - si riferisce unicamente ai fatti giuridicamente determinanti e presuppone che i fatti da dimostrare vadano sostanziati in maniera sufficiente e indicati in maniera completa al fine di poter assumere le prove necessarie ( DTF 127 III 368; SZS 2003 p. 501). Inoltre, per un principio giurisprudenziale consolidato,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 RCC 1986 p. 202; STFA 3 dicembre 1993 nella causa M. T., 27 ottobre 1992 nella causa A. B. P., 13 febbraio 1992 nella causa M. O.; Gygi , Bundesverwaltungsrechtspflege, 2° ed., p. 274). Un tale modo di procedere non lede il diritto di essere sentito sancito dalla Cost. ( RCC 1986 p. 202; RAMI 1985 p. 238; DTF 106 Ia 162 consid. 2b; Walter , "Il diritto alla prova in Svizzera" in Rivista trimestrale di diritto e procedura civile, 1991, p. 1292). Nel caso in esame, la documentazione agli atti è sufficiente per statuire nel merito della presente vertenza, per il che non appare necessario dar seguito a suddette richieste probatorie.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