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34.2005.45 vom 7. Juni 2006</w:t>
      </w:r>
    </w:p>
    <w:p>
      <w:r>
        <w:t>TI Tribunale d'appello, 2006-06-07, IT</w:t>
      </w:r>
    </w:p>
    <w:p>
      <w:r>
        <w:rPr>
          <w:b/>
        </w:rPr>
        <w:t xml:space="preserve">Quelle: </w:t>
      </w:r>
      <w:r>
        <w:t>https://mcp.opencaselaw.ch/entscheid/ti_gerichte_34.2005.45</w:t>
      </w:r>
    </w:p>
    <w:p>
      <w:r>
        <w:t>FR: TI_GERICHTE 34.2005.45 du 7 juin 2006</w:t>
      </w:r>
    </w:p>
    <w:p>
      <w:r>
        <w:t>IT: TI_GERICHTE 34.2005.45 del 7 giugno 2006</w:t>
      </w:r>
    </w:p>
    <w:p>
      <w:pPr>
        <w:pStyle w:val="Heading2"/>
      </w:pPr>
      <w:r>
        <w:t>Regeste</w:t>
      </w:r>
    </w:p>
    <w:p>
      <w:r>
        <w:t>azione di condanna dei premi providenziali non versati dal datore di lavoro; in casu le modifiche salariali sono state notificate tardivamente dal datore di lavoro; rigetto dell'opposizione</w:t>
      </w:r>
    </w:p>
    <w:p>
      <w:pPr>
        <w:pStyle w:val="Heading2"/>
      </w:pPr>
      <w:r>
        <w:t>Erwägungen</w:t>
      </w:r>
    </w:p>
    <w:p>
      <w:r>
        <w:rPr>
          <w:b/>
        </w:rPr>
        <w:t>E. 10</w:t>
      </w:r>
    </w:p>
    <w:p>
      <w:r>
        <w:t>settembre 2003 nella causa C., B 28/01). Siccome nel caso in esame i contributi litigiosi riguardano il periodo anteriore al 1° gennaio 2005, di conseguenza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tema del presente litigio, può essere dedotto altrimenti dalle disposizioni transitorie della modifica legislativa del 3 ottobre 2003. 2.3.   Secondo l’art. 2 LPP i lavoratori che hanno compiuto i diciassette anni e riscuotono da un datore di lavoro un salario annuo maggiore di fr. 19'200 (fr. 23'280 nel 1995, fr. 23'880 nel 1996 e 1997, fr. 24'120 nel 1998, 1999 e 2000, fr. 24'720 nel 2001 e 2002; cfr. l'art. 5 OPP2 e le relative modifiche) sottostanno all’assicurazione obbligatoria. L’art. 7 cpv. 2 LPP precisa che " è tenuto conto del salario annuo determinante giusta la legge federale sull’assicurazione vecchiaia e superstiti. Il Consiglio federale può consentire delle deroghe." Al proposito l’art. 3 OPP2 stabilisce che: " Nel suo regolamento l'istituto di previdenza può derogare al salario determinante nell'AVS: a. facendo astrazione di elementi occasionali del salario; b. fissando anticipatamente il salario coordinato annuo in base all'ultimo salario annuo noto, si deve tuttavia tener conto dei cambiamenti già convenuti per l'anno in corso; c. determinando il salario coordinato in modo forfetario, in quelle professioni in cui le condizioni d'occupazione e di retribuzione sono irregolari, in base al salario medio di ogni categoria professionale. L'istituto di previdenza può pure derogare al salario annuo e determinare il salario coordinato basandosi sul salario versato per un determinato periodo di pagamento. Gli importi limite fissati negli articoli 2, 7, 8 e 46 LPP devono allora essere convertiti per il corrispondente periodo di pagamento. Se il salario diventa temporaneamente inferiore all'importo limite minimo, il salariato resta comunque sottoposto all'assicurazione obbligatoria." Infine, l’art. 8 LPP dispone che: " Dev’essere assicurata quella parte di salario annuo tra i 14’880 franchi e i 44’640 franchi. Tale parte è detta salario coordinato." (nel 1995 i salari coordinati erano di fr. 23'280 risp. 69'840, nel 1996 e 1997 di fr. 23'880 risp. 71'640, nel 1998, 1999, 2000 di fr. 24'120 risp. 72'360, nel 2001 e 2002 di fr. 24'720 risp. 74’160). Per il cpv. 3 di quest'ultimo disposto quando il salario annuo diminuisce temporaneamente per malattia, infortunio, disoccupazione o motivi analoghi, il salario coordinato vigente continua ad essere valido almeno fintanto che sussista l'obbligo del datore di lavoro di continuare a pagare il salario giusta l'art. 324a del CO. L'assicurato può tuttavia chiedere la riduzione del salario coordinato. 2.4.   L'art. 11 LPP impone al datore di lavoro che occupa lavora­tori da assicurare obbligatoriamente di affiliarsi ad un istituto di previdenza regolarmente registrato. Uno degli obblighi derivanti dalla legge, così come dal contratto di adesione, consiste nel pagamento di contributi all’istituto di previdenza (T. Lüthy, das Rechtsverhältnis zwischen Arbeitgeber und Personalvorsorgestiftung, Zurigo 1989, p. 85/86). In effetti, secondo l’art. 66 LPP, tranne nei casi in cui assume interamente a suo carico l'onere contributivo, il datore di lavoro preleva i contributi dei lavoratori e li versa unitamente ai suoi all'Istituto di previdenza, nella misura stabilita dal regolamento. Egli è infatti l’unico debitore dei contributi (T. Lüthy, op. cit. p. 32). Sui contributi non pagati alla scadenza l'istituto può pretendere interessi di mora (art. 66 cpv. 2 LPP). L’art. 66 cpv. 1 prima frase LPP prevede che "l’istituto di previdenza stabilisce nelle disposizioni regolamentari l’importo dei contributi del datore di lavoro e dei lavoratori". Secondo la LPP gli accrediti di vecchiaia, vengono calcolati annualmente in percento del salario coordinato (art. 8 LPP; tra i fr. 25'320 e 75'960 nel 2003 e 2005) sulla base di determinate aliquote che dipendono dall’età (art. 16 v. LPP). A tale importo vanno aggiunti i contributi relativi alle misure speciali (art. 70 cpv. 1 v. LPP), al rincaro (art. 36 cpv. 1 LPP e relativa ordinanza) e al fondo di garanzia (art. 59 LPP e 4 OFG2) così come una partecipazione ai costi amministrativi. Gli accrediti di vecchiaia maturano degli interessi (art. 12 OPP2). Il premio di rischio infine, viene di regola determinato in base alle tariffe per l'assicurazione collettiva approvate dall'Ufficio federale per le assicurazioni private (art. 68 LPP; C. Helbling, Personalvorsorge und BVG, Berna Stoccarda 1990, p. 67; cfr. in concreto l'art. 6 del contratto doc. S). L’Istituto di previdenza non è tuttavia obbligato a fissare i contributi con gli stessi criteri stabiliti dalla LPP per gli accrediti di vecchiaia. Gli istituti di previdenza possono infatti strutturare liberamente le prestazioni, il finanziamento di queste e l’organizzazione (art. 49 cpv. 1 LPP; Messaggio del Consiglio federale sulla LPP p. 98; Riemer, op. cit. p. 28/29; Brühwiler, Die betriebliche Personalvorsorge in der Schweiz, Berna 1989, p. 203; A. Maurer, Bundessozialversicherungsrecht, Basilea 1994, p. 189, 206; Locher, Bundessozialversicherungsrecht, Basilea Francoforte 1994, p. 238). Ne discende che i contributi non devono necessariamente corrispondere agli accrediti di vecchiaia di cui all'art. 16 LPP: i primi servono infatti per il finanziamento del fondo di previdenza, i secondi a stabilire le prestazioni minime previste dalla legge (Messaggio del Consiglio Federale sulla LPP, p. 98). Non è superfluo ricordare in questa sede che il sistema contributivo e il finanziamento del rapporto previdenziale tra datore di lavoro e istituto di previdenza è in linea di massima oggetto dell'autonomia dispositiva concessa agli istituti di previdenza (art. 49 LPP), i quali devono per legge in ogni tempo offrire garanzia di poter adempiere gli impegni assunti (cfr. art. 65 cpv. 1 e 2 LPP). Il consenso del datore di lavoro alle disposizioni regolamentari o a eventuali cambiamenti degli stessi non è necessario (Brühwiler, Die betriebliche Personalvorsorge in der Schweiz, Berna 1989, pag. 452; Wirth/Saager/Bär, Die zweite Säule, Zurigo 1984, pag. 60; Gerhards, Grundriss Zweite Säule, Berna 1989, pag. 113). 2.5.   Vale la pena di ricordare che il principio indagatorio vigente nell'ambito delle assicurazioni sociali (SVR 1998 UV n. 1; DTF 117 V 263 consid. 1b) ha i suoi limiti nell'obbligo delle parti di collaborare all'istruzione della causa (DTF 125 V 195 consid. 2, 122 V 150 consid. 1a con riferimenti). In particolare, nel processo riguardante il versamento di contributi della previdenza professionale l'istituto di previdenza deve sostanziare la pretesa in maniera completa al fine di permetterne l'esame.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pag. 500; SZS 2001 pag. 562). 2.6.   Nel caso in esame, il datore di lavoro contesta il conteggio dei premi previdenziali in relazione alla posizione di cinque assicurati (__________, __________, __________, __________ e __________), evidenziando di aver già segnalato alla Fondazione tali censure. Con scritto del 28 settembre 2004 egli aveva infatti puntualizzato quanto segue: " da un controllo sommario dei dati in n.s. possesso, con particolare riferimento alle Entrate ed Uscite notificateVi dei ns. assicurati, rileviamo alcune discrepanze sui conteggi-premio annui da Voi emessi, e quelli da noi calcolati sulla base dei certificati di salario ricevuti e più precisamente: -   __________ - Uscita 28.02.95 ed importo calcolato per anni completi per 1995, 1996, 1997. -   __________ - Entrata 01.07.97 importo calcolato per anno completo. -   __________ - Entrata 10.07.00 / Uscita 30.09.00 importo calcolato per anno completo anche per 2001. -   __________ - a decorrere dal 2002 impiego a tempo parziale -   __________ - malattia 100% dal 01.04.02 al 30.10.02 esonero premi Vi rimettiamo per informazione copia dei relativi fogli di salario nonché copia del certificato medico del Sig. __________. Attendiamo pertanto Vs. notizie in merito e nel frattempo porgiamo distinti saluti." (Doc. 3) 2.6.1.   Riguardo all’assicurato __________, il convenuto ha fatto presente che sono stati conteggiati i premi per gli anni 1995-1997 nonostante che il dipendente interessato avesse cessato la collaborazione lavorativa al 28 febbraio 1995, rispettivamente fosse uscito quel giorno dalla Fondazione. Nella replica 21 luglio 2005 l’istituto previdenziale attore ha evidenziato come il datore di lavoro abbia notificato la partenza dell’ex collaboratore solo in data 17 giugno 1997, ossia oltre due anni e mezzo dal termine del rapporto di lavoro (doc. Z). L’attrice ha ciononostante considerato valevole la succitata notifica di uscita ed ha dimostrato di aver retrocesso i premi versati in eccesso per complessivi fr. 8'831, interessi inclusi (estratto conto e conteggio d’uscita del 29 agosto 1997 in doc. G). Ne consegue che i premi sono stati effettivamente imputati sino al 28 febbraio 1995 e che la censura sollevata dal convenuto non corrisponde alla realtà dei fatti. 2.6.2.   In merito ad __________ il convenuto ha asserito che è stato conteggiato l’intero premio annuale del 1997, mentre  l’interessato è rimasto affiliato solo dal 1° luglio al 31 dicembre 1997. Nella replica l’attrice ha altresì evidenziato che il premio annuale è stato calcolato in fr. 2'056, sottolineando tuttavia che il contributo dovuto e scaduto è stato determinato in fr. 1'028, ciò che corrisponde ai sei mesi di effettiva affiliazione del succitato ex-dipendente (cfr. foglio complementare relativo al succitato assicurato e estratto conto del 1997 in doc. G). La Fondazione ha pertanto rettamente computato il premio pro rata temporis. Anche su questo punto la censura del convenuto risulta essere priva di qualsiasi fondamento. 2.6.3.   Leandro Daldini ha evidenziato che __________ è stato alle sue dipendenze dal 10 luglio al 30 settembre 2000 e che ciononostante è rimasto affiliato alla Fondazione sino alla scissione del contratto previdenziale. Al riguardo, l’attrice ha messo in evidenza come da parte del datore di lavoro non le sia mai giunta alcuna notifica d’uscita, rimarcando come questi abbia violato l’obbligo di notifica statuito all’art. 3.1. del contratto di adesione. Tale articolo prevede: " Obbligo di notifica Il datore di lavoro si impegna a notificare all'assicurazione tutte le persone che fanno parte della cerchia degli assicurati e a mettere tempestivamente a disposizione della AT 1 tutta la documentazione e i dati necessari per il calcolo delle prestazioni previdenziali e dei contributi. In particolare, il datore di lavoro è obbligato a notificare immediatamente tutte le modifiche che subentrano nell'effettivo numerico del personale (nuove assunzioni, uscite dal servizio, casi di decesso) e tutte le altre modifiche che possono avere conseguenze per la copertura previdenziale (p. es. casi d'invalidità). Le modifiche del salario devono essere notificate entro il 1° gennaio di ogni anno. Su richiesta degli interessati si può tenere conto anche delle modifiche salariali intervenute durante l'anno in corso. I salari annui notificati costituiscono i dati di base per calcolare i salari assicurati e per stabilire l'ammontare delle prestazioni previdenziali e dei contributi. Il datore di lavoro è responsabile delle conseguenze legali che possono derivare dall'infrazione di questo obbligo di notifica." (Doc. C) L’art. 10 OPP 2 dispone inoltre che il datore di lavoro deve annunciare all’istituto di previdenza tutti i salariati sottoposti all’assicurazione obbligatoria e fornire le indicazioni necessarie alla tenuta dei conti di vecchiaia e al calcolo dei contributi. Deve inoltre fornire all’ufficio di controllo le informazioni di cui quest’ultimo necessita per il disbrigo delle proprie incombenze (art. 35). Nel caso in esame, solo con la lettera 28 settembre 2004 il convenuto ha comunicato la partenza al 30 settembre 2000 del salariato in questione, vale a dire dopo quasi quattro anni dalla cessazione del rapporto di lavoro e quasi due anni dopo lo scioglimento del contratto di affiliazione. Va poi rilevato che, come risulta dallo scritto 21 aprile 2004 al datore di lavoro, la Fondazione, a seguito dello scioglimento del contratto d’affiliazione e sulla base della documentazione allora conosciuta, ha determinato le prestazioni di libero passaggio in complessivi fr. 259'339,85 e trasferito tale importo alla Cassa pensioni __________ (doc. T). In queste circostanze, dunque, l’avviso d’uscita del 28 settembre 2004 risulta essere manifestamente tardivo. Il datore di lavoro non può ora richiedere un nuovo calcolo dei premi e l’eventuale retrocessione dei premi versati in più avendo la Fondazione già provveduto al versamento delle prestazioni di libero passaggio, tra cui quella dell’ex dipendente interessato. Il mancato incasso di tali contributi provocherebbe infatti un danno economico per la convenuta, non potendo quest’ultima più disporre della totale copertura finanziaria necessaria per le prestazioni di libero passaggio precedentemente erogate. Oltretutto una rettifica del conteggio contributivo comporterebbe un aggravio non giustificato sia di tempo che di costi. Il datore di lavoro deve di conseguenza sopportare le conseguenze del suo agire. In tal senso va ricordato che l’art. 3.1 cpv. 3 del contratto di adesione, sottoscritto dal convenuto, prevede espressamente che “ il datore di lavoro è responsabile delle conseguenze legali che possono derivare dall’infrazione di questo obbligo di notifica”. Diversamente sarebbe stato se la violazione dell’obbligo d’informazione da parte del datore di lavoro avesse procurato un pregiudizio agli assicurati. Ad esempio, se l’assicurato riesce a dimostrare che il datore di lavoro ha annunciato un salario AVS errato, egli può chiedere all’istituto di previdenza una correzione del salario assicurato anche se l’errore è dovuto dalla violazione dell’obbligo d’informazione del datore di lavoro ai sensi dell’art. 10 OPP 2, poiché l’assicurato non deve rispondere delle conseguenze dovute a tale errore (Vetter, Berufliche Vorsorge, Zurigo 2005, ad art. 10 OPP 2 pag. 333 con riferimento alla sentenza 16.7.1993 del TCA del Cantone Zurigo pubblicata in SZS 1996 pag. 69), ciò che non è il caso in esame. 2.6.4.   Per quel che concerne la posizione relativa al dipendente __________, nel più volte citato scritto 28 settembre 2004 il datore di lavoro ha sostenuto come questi dal 2002 abbia lavorato a tempo parziale, senza tuttavia specificare in che misura. Analogamente a quanto evidenziato nel punto precedente, la succitata notifica di modifica del tempo lavorativo risulta essere tardiva, con tutte le conseguenze suesposte. 2.6.5.   Infine, sempre nello scritto 28 settembre 2004 il convenuto ha chiesto che nel conteggio venga tenuto conto del fatto che il dipendente __________ è stato inabile al lavoro al 100% dal 1° aprile 2002 al 30 ottobre 2002. Nelle osservazioni 8 settembre 2005 la Fondazione ha pertinentemente evidenziato che da una parte la notifica è avvenuta a quasi due anni dallo scioglimento del contratto di affiliazione e che agli atti non risulta esservi alcun certificato medico attestante un’incapacità lavorativa (XVI). Non risulta quindi dimostrato il motivo dell’esonero dei contributi ex art. 3.5.1. del contratto di adesione, ossia l’incapacità lavorativa rispettivamente al guadagno. 2.6.6.   In conclusione, visto quanto sopra, le censure del convenuto vanno integralmente respinte. 2.7.   Per quel che concerne la determinazione dei contributi ancora dovuti, in casu va rilevato che la cerchia delle persone assicurate, l'obbligo contributivo, le modalità di finanziamento, calcolo, fatturazione e versamento dei contributi sono disciplinati in particolare agli artt. 3.3. del contratto d'adesione (doc. C) e 5.2 del regolamento di previdenza (doc. D). In particolare i premi, il cui intero versamento incombe al datore di lavoro, si compongono dell'accredito di vecchiaia, del premio di rischio e delle spese accessorie LPP (art. 66 cpv. 2 LPP;  art. 3.3 Contratto d'adesione e art. 5.2 del regolamento di previdenza). I contributi vengono calcolati in base al salario annuo assicurato e secondo aliquote che dipendono dall'età; essi sono a carico del lavoratore e del datore di lavoro in ragione del 50% ciascuno (Regolamento di previdenza e contratto d’adesione; art. 66 cpv. 1 LPP). Mentre gli accrediti di vecchiaia sono determinati singolarmente per ciascun assicurato secondo percentuali del salario coordinato variabili a seconda dell’età dell’assicurato (cfr. l’art. 16 LPP e allegato del Regolamento), i premi di rischio sono definiti in base al tariffario per l’assicurazione collettiva approvato dall’Ufficio federale delle assicurazioni private. Per quanto riguarda il finanziamento delle spese accessorie LPP, esse si compongono dello 0,04 % del salario annuo assicurato come quota di finanziamento per il fondo di garanzia ai sensi dell'art. 59 LPP, del 1% del salario annuo assicurato per misure speciali (art. 70 LPP), e da un premio supplementare per  l'adeguamento al rincaro delle rendite giusta l'art. 36 LPP. Dagli atti di causa emerge dunque che il calcolo dei contributi previdenziali dovuti dal convenuto a favore dei suoi dipendenti è stato effettuato conformemente alle sopra richiamate disposizioni legali e regolamentari, tenuto conto del salario coordinato LPP, delle persone assicurate, dei salari erogati e delle mutazioni intervenute (cfr. estratti conto 1995 – 2004 con giustificativi doc. E –P). Il saldo al 21 aprile 2004 di fr. 19'138,60 è di conseguenza corretto. Sono inclusi in suddetto importo gli interessi, le spese di diffida (annualmente sono state inviate diffide: il 14.02.1996, doc. F; 4.6.1997, doc. G; 12.2.1998, doc. H; 18.2.1999, doc. I; 17.2.2000, doc. L; 14.2.2003 doc. N; il 28.2.03 e 21.4.2004 richieste di pagamento del saldo contributivo, doc. Q e T) e le spese esecutive relative ai precedenti precetti esecutivi fatti spiccare nei confronti del datore di lavoro il l’8.5.1996 ed il 4.6.2002 (doc. R e S). Essendo tali spese comprovate dagli estratti conto prodotti e dai relativi allegati, le stesse vanno riconosciute (DTF 117 II 258). Per quanto riguarda invece i danni di mora conteggiati per un ammontare complessivo di fr. 300.--, gli stessi non possono essere riconosciuti. Secondo l’art. 106 CO il debitore è infatti tenuto a risarcire anche il danno patito dal creditore eccedente gli interessi moratori, in quanto non provi che non gli incombe alcuna colpa. Tali spese affinché possano essere riconosciute, devono essere dimostrate (DTF 117 II 258). In concreto l’attrice non ha prodotto i giustificativi atti a sostanziare e quantificare i costi addebitati, che di conseguenza non possono essere riconosciuti. Per quel che concerne l’anticipo di fr. 100.-- versato all'Ufficio esecuzione, che la Fondazione chiede che venga posto a carico del convenuto, va precisato che tale spesa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(DTF 71 III 144; Panchaud/Caprez , La mainlevée d’opposition, § 164, p. 414; Ammon, Grundriss des Schuldbetreibungs-und Konkursrechts, 1983, p. 106), senza che sia necessaria un’esplicita pronuncia nel merito (STCA 21 settembre 1993 nella causa R.B.). Né l’amministrazione né il giudice possono quindi porre tale spesa a carico degli assicurati (SVR 1995 KV Nr. 57 p. 175); Disattesa deve parimenti essere la richiesta attorea tendente al rimborso della tassa d'incasso (cfr. art. 19 OTLEF) di  cui al PE in rassegna (fr. 97,15), ritenuto che la stessa, oltre che a non dover essere anticipata dal creditore (cfr. art. 4 Rform), in nessuna ipotesi - e quindi nemmeno in caso di esito negativo (per il creditore) della procedura esecutiva - è suscettibile di essere posta a suo carico. Ne consegue che i contributi scoperti a seguito dello scioglimento del contratto previdenziale ammontano a fr. 19'138,60. 2.8.   L'attrice chiede pure il versamento di interessi di mora al 5 % dal 1° gennaio 2004. Giusta l'art. 66 cpv. 2 LPP, sui contributi non pagati alla scadenza, l'istituto di previdenza può pretendere interessi di mora (Brühwiler, op. cit., p. 46; SZS 1990 p. 89). In casu, poiché la convenuta è palesemente in mora con il pagamento dei contributi e il tasso del 5% richiesto corrisponde a quello legale (art. 104 CO), la domanda è da accogliere. 2.9.   La Fondazione postula infine la pronuncia del rigetto definitivo dell’opposizione al precetto esecutivo no. __________ 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(Adler, La mainlevée de l'opposition par une caisse-maladie dans une poursuite pour dettes, in: Droit privé et assurances sociales, Friborgo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PE n. __________ dell’UE di __________ deve essere ammessa, limitatamente a fr. 19'138,60. 2.10.   Per quanto riguarda il tema della rifusione delle ripetibili, lo stesso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(Kieser, ATSG-Kommentar, Zurigo 2003, ad art. 1 n. 7, ad art. 61 n. 4; Meyer - Blaser, Die Rechtspflegebestimmungen des ATSG, in: HAVE 2000 pp. 328, 332); lo stesso valeva per gli artt. 85 cpv. 2 lett. f LAVS (estensibile all'AI, PC, IPG, AF contadini di montagna) e 108 cpv. 1 lett. g LAINF, nel loro tenore in vigore sino al 31 dicembre 2002. E neppure, per costante giurisprudenza (DTF 114 V 228ss, 112 V 111 con riferimenti), il diritto a ripetibili poteva essere dedotto dall'art. 4 vCF così come non è deducibile dall'art. 6 CEDU. Spetta ai cantoni prevederlo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nella sentenza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(DTF 128 V 133 consid. 5, 126 V 150 consid. 4, 112 V 361s; SZS 2001 pag. 174; STCA del 9 marzo 1992 nella causa F.P. c. S.SA; per le eccezioni cfr. 127 V 207, 126 V 150 consid. 4b, AHI Praxis 2000 pag. 337). Nel caso concreto, alla luce di questa giurisprudenza,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