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34.2004.47 vom 21. Dezember 2004</w:t>
      </w:r>
    </w:p>
    <w:p>
      <w:r>
        <w:t>TI Tribunale d'appello, 2004-12-21, IT</w:t>
      </w:r>
    </w:p>
    <w:p>
      <w:r>
        <w:rPr>
          <w:b/>
        </w:rPr>
        <w:t xml:space="preserve">Quelle: </w:t>
      </w:r>
      <w:r>
        <w:t>https://mcp.opencaselaw.ch/entscheid/ti_gerichte_34.2004.47</w:t>
      </w:r>
    </w:p>
    <w:p>
      <w:r>
        <w:t>FR: TI_GERICHTE 34.2004.47 du 21 décembre 2004</w:t>
      </w:r>
    </w:p>
    <w:p>
      <w:r>
        <w:t>IT: TI_GERICHTE 34.2004.47 del 21 dicembre 2004</w:t>
      </w:r>
    </w:p>
    <w:p>
      <w:pPr>
        <w:pStyle w:val="Heading2"/>
      </w:pPr>
      <w:r>
        <w:t>Regeste</w:t>
      </w:r>
    </w:p>
    <w:p>
      <w:r>
        <w:t>divisione delle prestazioni previdenziali in caso di divorzio</w:t>
      </w:r>
    </w:p>
    <w:p>
      <w:pPr>
        <w:pStyle w:val="Heading2"/>
      </w:pPr>
      <w:r>
        <w:t>Erwägungen</w:t>
      </w:r>
    </w:p>
    <w:p>
      <w:r>
        <w:rPr>
          <w:b/>
        </w:rPr>
        <w:t>E. 4</w:t>
      </w:r>
    </w:p>
    <w:p>
      <w:r>
        <w:t>gli importi degli averi dei coniugi, dichiarati da questi istituti." -   che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in concreto giusta l'art. 25a cpv. 1 LFLP competente ratione loci a statuire nel merito della causa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DTF 130 V 111; Schneider/Bruchez , La prévoyance professionnelle et le divorce, in: Le nouveau droit du divorce, CEDIDAC 41, Losanna 2000, p. 253); -   che in concreto dalla documentazione agli atti risulta che al momento del divorzio (17 agosto 2004, data della crescita in giudicato della sentenza di divorzio, cfr. Vetterli/Keel , op. cit., p. 1620) CV 1 disponeva presso la Fondazione __________, __________ di un avere di fr. 134'615.50 (XII); -   che stante l’impossibilità di risalire all’effettiva esistenza ed entità (con ogni verosimiglianza comunque esigua, cfr. XIV-XVIII) di un avere previdenziale di CV 1 alla data del matrimonio (__________; CV 1 sembrerebbe infatti aver iniziato a contribuire a far tempo dal dicembre 1988, cfr. V), ritenuto che in ogni caso gli ex coniugi, cui l’intera documentazione acquisita agli atti è stata trasmessa per una presa di posizione, nulla hanno osservato in merito ad una eventuale considerazione ai fini del computo di prestazioni o averi presenti alla data del matrimonio (XXV, XXVI; entrambi hanno indicato quale avere determinante ai fini della divisione quello esistente presso detta Fondazione al momento del divorzio), dovendo codesto tribunale decidere sulla base degli atti disponibili ( Messaggio sulla revisione del Codice civile svizzero del 15 novembre 1995, FF 1996 I 122, 233.46) appare equo ritenere che l’avere accumulato dall’ex marito durante il matrimonio (senza ancora considerare l’importo fatto oggetto di prelievo anticipato per l’acquisto della proprietà d’abitazione da parte di CV 1, cfr. infra) corrisponde all’intero succitato avere disponibile al momento del divorzio presso la Fondazione __________; -   che il capitale depositato presso detta Fondazione, nell’ottobre 2004 è stato trasferito (unitamente agli interessi) alla CV 2 - cui CV 1 risulta essere assicurato a far tempo dal 1. settembre 2004 - per un importo complessivo di fr. 134'839.50 (XII, XXI); -   che, come visto, nella convenzione sulle conseguenze accessorie del divorzio sottoscritta dagli ex coniugi ed omologata dal Pretore é stato pattuito che l’avere prelevato da CV 1 durante il matrimonio per l’acquisto dell’abitazione coniugale verrà ripartito solo al momento della vendita del mappale n. __________ di __________ fondo base, costituito in PPP; -   che prelievi anticipati, dopo il matrimonio, per il finanziamento della  proprietà dell'abitazione non ancora rimborsati al momento del divorzio non perdono la loro natura previdenziale e mantengono il proprio valore nominale sino al divorzio - senza computo di interessi ( DTF 128 V 230; Brunner , Die Berücksichtigung von Vorbezügen für Wohneigentum bei der Teilung der Austrittleistung nach Art. 122 ZGB, in: ZBJV 2000 p. 536ss) - e devono quindi essere considerati come una prestazione da dividersi conformemente agli artt. 122, 123, 141 CC e 22 LFLP (art. 30c cpv. 6 LPP ; Schneider/Bruchez , La prévoyance professionnelle et le divorce, in: RSA 2000, p. 255; Vetterli/Keel , op. cit., p. 1622; Walser , Berufliche Vorsorge, in: Das neue Scheidungsrecht, Zurigo, 1999, p. 60; Trigo Trindade , in: SJ 200 p. 485); -   che quindi l’ammontare complessivo della prestazione acquisita da CV 1 durante il matrimonio si compone dell’avere di fr. 134'615.50 esistente al momento del divorzio sul conto di libero passaggio presso la Fondazione __________ e dell’importo di fr. 39'982.55 oggetto del succitato prelievo avvenuto nel giugno 2002 (V/c); -   che di conseguenza il credito a favore di AT 1 (metà della prestazione acquisita dall’ex marito durante il matrimonio) ammonta a complessivi fr. 87'299.05 (174'598.05 : 2); -   che tuttavia l’esecuzione del riparto deve per il momento essere limitata all’importo disponibile presso la Fondazione __________ al 17 agosto 2004 (fr. 134'615.50) , la sentenza di divorzio avendo infatti stabilito che la divisione dell’avere oggetto di prelievo anticipato (fr. 39'982.55) avverrà solo al momento della vendita dell’immobile di cui al mappale n. __________ di __________ e non competendo per il resto allo scrivente Tribunale rivedere siffatta regolamentazione stante oltretutto l’espressa opposizione di CV 1 alla diversa soluzione prospettata nelle more della presente procedura da AT 1 che ha segnatamente chiesto di procedere ora anche alla ripartizione dell’importo anticipatamente prelevato; -   che la chiave di ripartizione degli averi previdenziali stabilita nella sentenza di divorzio - in casu l'accredito a favore della ex moglie della metà della prestazione accumulata dall'ex marito - é vincolante ed ha quindi effetto obbligatorio per il giudice competente a decidere a norma dei combinati articoli 142 cpv. 2 CC, 25a cpv. 1 LFLP e 73 LPP, il cui compito, dal profilo materiale, è quindi limitato all'esecuzione di quanto stabilito dal giudice del divorzio ( Geiser , op. cit., p. 53ss, 84; Schneider/Bruchez , op. cit., CEDIDAC, p. 249ss, 252; FF 1996 I 114; art. 142 cpv. 3 lett. 1 CC; STFA non pubblicata del 17 dicembre 2003 nella causa M. [B 96/03]). Per il che alla richiesta di CV 1 presentata pendente lite (XXX) e volta all'attribuzione della metà dell'avere accumulato dalla ex moglie durante il matrimonio, non può qui essere dato seguito; -   che per applicazione analogica degli art. 3-5 LFLP stabilita all'art. 22 cpv. 1 LFLP, l'avere a cui il coniuge ha diritto deve essere di principio trasferito nella forma vincolata di prestazione di libero passaggio ai sensi della LFLP e non versato in contanti ( Schneider/Bruchez , op. cit., in: SVZ 2000, p. 258); l'importo dovuto deve pertanto essere accreditato o a un istituto di previdenza o su un conto o polizza di libero passaggio, principio questo che dovrà essere rispettato anche al momento in cui si tratterà, in esecuzione di quanto stabilito nella sentenza di divorzio, di procedere alla ripartizione del capitale prelevato per il finanziamento della proprietà d’abitazione; -   che l'importo di fr. 67'307.75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(17 agosto 2004) e sino al momento dell'effettivo trasferimento ( DTF 129 V 255-258 consid. 3-4; STFA dell'8 aprile 2003 nella causa A. [B 73/02], dell'8 aprile 2003 nella causa M. [B 94/02], dell'8 luglio 2003 nella causa L. [B 113/02], del 18 luglio 2003 nella causa L. [B 36/02]), dovrà pertanto essere trasferito a favore di __________ presso la Cassa pensioni __________ (contratto n. __________, n. d’ass. __________) dove essa risulta attualmente registrata (IX, XIX); -   che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AT 1, interessi di mora giusta i combinati articoli 7 OLP e 12 OPP2 ( DTF 129 V 257-258 consid. 4 e 5; STFA del 4 settembre 2003 nella causa OFAS c. X, B 105/02).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