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34.2004.42 vom 8. Oktober 2004</w:t>
      </w:r>
    </w:p>
    <w:p>
      <w:r>
        <w:t>TI Tribunale d'appello, 2004-10-08, IT</w:t>
      </w:r>
    </w:p>
    <w:p>
      <w:r>
        <w:rPr>
          <w:b/>
        </w:rPr>
        <w:t xml:space="preserve">Quelle: </w:t>
      </w:r>
      <w:r>
        <w:t>https://mcp.opencaselaw.ch/entscheid/ti_gerichte_34.2004.42</w:t>
      </w:r>
    </w:p>
    <w:p>
      <w:r>
        <w:t>FR: TI_GERICHTE 34.2004.42 du 8 octobre 2004</w:t>
      </w:r>
    </w:p>
    <w:p>
      <w:r>
        <w:t>IT: TI_GERICHTE 34.2004.42 del 8 ottobre 2004</w:t>
      </w:r>
    </w:p>
    <w:p>
      <w:pPr>
        <w:pStyle w:val="Heading2"/>
      </w:pPr>
      <w:r>
        <w:t>Regeste</w:t>
      </w:r>
    </w:p>
    <w:p>
      <w:r>
        <w:t>mancato versamento da parte del datore di lavoro di contributi LPP a Istituto collettore; sentenza di condanna con rigetto definitivo dell'opposizione a valere quale titolo per la prosecuzione dell'esecuzione; comportamento temerario del datore di lavoro con accollo di tasse e spese di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g LAINF, nel loro tenore in vigore sino al 31 dicembre 2002. E neppure, per costante giurisprudenza ( DTF 114 V 228ss, 112 V 111 con riferimenti), il diritto a ripetibili poteva essere dedotto dall'art. 4 vCF così come non è deducibile dall'art. 6 CEDU. Spetta ai cantoni prevederlo ( DTF 117 V 403). Vi ha provveduto, nel Ticino, la LPTCA che prevede il "diritto nella misura stabilita dal giudice al rimborso delle spese processuali, dei disborsi e delle spese di patrocinio". Il diritto è dunque riservato, analogamente alle norme di diritto federale sopraccitate, al solo ricorrente. Il motivo di questo privilegio è esposto dal TFA in STFA 7 dicembre 1989 nella causa D.W., pubblicata in RAMI 1990 U 98 pag. 195 a proposito dell'art. 108 LAINF, precisando che scopo della norma è di consentire all'assicurato, spesso socialmente debole, di far valere in giustizia le sue pretese a prestazioni assicurative senza esserne trattenuto dal timore di dover sborsare, in caso di soccombenza, un'indennità alla controparte. Motivi analoghi presiedono all'esclusione del diritto a ripetibili a favore di organismi adempienti funzioni di diritto pubblico, sancito dall'art. 159 cpv. 2 OG in fine ( DTF 112 V 49). In materia di LPP il diritto a ripetibili dev'essere esclusivamente riservato all'assicurato vittorioso in causa: le ripetibili sono in tale ipotesi accollate all'assicuratore che ha introdotto la causa e l'ha persa ( DTF 126 V 150). Per contro, l'assicuratore che vince la causa, ancorché rappresentato da un legale, non ha, di regola, diritto a ripetibili ( DTF 128 V 133 consid. 5, 126 V 150 consid. 4, 112 V 361s; SZS 2001 p. 174; STCA del 9 marzo 1992 in re F.P. c. S.SA). Se però il comportamento processuale della controparte si dimostra temerario o quest’ultima abbia agito con leggerezza (cfr. supra), gli assicuratori sociali, vincenti in causa e patrocinati da un avvocato o da una persona qualificata hanno diritto alle ripetibili. In assenza di una tale rappresentanza, devono, in aggiunta alla temerarietà e alla leggerezza, essere realizzate le ulteriori condizioni (cumulative) richieste per l’assegnazione di ripetibili ad una parte non patrocinata ( la causa deve cioè essere complessa, avere valore litigioso elevato e richiedere un notevole impiego di tempo, e gli sforzi profusi devono essere ragionevolmente proporzionati ai risultati ottenuti ( DTF 128 V 133s consid. 5, 323 consid. 1, 127 V 207, 126 V 150 consid. 4b, 110 V 135 consid. 4d; AHI Praxis 2000 p. 337; RCC 1984 p. 278). Nel caso concreto, considerata la non complessità della causa, un’indennità per ripetibili ai sensi della giurisprudenza federale non può essere riconosciuta.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