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34.2003.29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https://mcp.opencaselaw.ch/entscheid/ti_gerichte_34.2003.29</w:t>
      </w:r>
    </w:p>
    <w:p>
      <w:r>
        <w:t>FR: TI_GERICHTE 34.2003.29 du 30 avril 2003</w:t>
      </w:r>
    </w:p>
    <w:p>
      <w:r>
        <w:t>IT: TI_GERICHTE 34.2003.29 del 30 aprile 2003</w:t>
      </w:r>
    </w:p>
    <w:p>
      <w:pPr>
        <w:pStyle w:val="Heading2"/>
      </w:pPr>
      <w:r>
        <w:t>Volltext</w:t>
      </w:r>
    </w:p>
    <w:p>
      <w:r>
        <w:t>Incarto n.34.2003.29</w:t>
      </w:r>
    </w:p>
    <w:p>
      <w:r>
        <w:t>rg/fz</w:t>
      </w:r>
    </w:p>
    <w:p>
      <w:r>
        <w:t>Lugano</w:t>
      </w:r>
    </w:p>
    <w:p>
      <w:r>
        <w:t>30 aprile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del 11 aprile 2003 della</w:t>
      </w:r>
    </w:p>
    <w:p>
      <w:r>
        <w:t>Fondaz. istituto collettore LPP,6900 Lugano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rilevato che la convenuta è stata sciolta in seguito a fallimento pronunciato dalla Pretura di __________ il 28.02.03 (cfr. estratto RC sub. doc. _)</w:t>
      </w:r>
    </w:p>
    <w:p>
      <w:r>
        <w:t>vista la lettera 25 aprile 2003 della parte attrice che, di conseguenza,  comunica il ritiro della petizione;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