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34.2003.13 vom 5. November 2003</w:t>
      </w:r>
    </w:p>
    <w:p>
      <w:r>
        <w:t>TI Tribunale d'appello, 2003-11-05, IT</w:t>
      </w:r>
    </w:p>
    <w:p>
      <w:r>
        <w:rPr>
          <w:b/>
        </w:rPr>
        <w:t xml:space="preserve">Quelle: </w:t>
      </w:r>
      <w:r>
        <w:t>https://mcp.opencaselaw.ch/entscheid/ti_gerichte_34.2003.13</w:t>
      </w:r>
    </w:p>
    <w:p>
      <w:r>
        <w:t>FR: TI_GERICHTE 34.2003.13 du 5 novembre 2003</w:t>
      </w:r>
    </w:p>
    <w:p>
      <w:r>
        <w:t>IT: TI_GERICHTE 34.2003.13 del 5 novembre 2003</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sul libero passaggio.</w:t>
      </w:r>
    </w:p>
    <w:p>
      <w:r>
        <w:rPr>
          <w:b/>
        </w:rPr>
        <w:t>E. 3</w:t>
      </w:r>
    </w:p>
    <w:p>
      <w:r>
        <w:t>gli istituti di previdenza professionale presso i quali i coniugi probabilmente detengono averi;</w:t>
      </w:r>
    </w:p>
    <w:p>
      <w:r>
        <w:rPr>
          <w:b/>
        </w:rPr>
        <w:t>E. 4</w:t>
      </w:r>
    </w:p>
    <w:p>
      <w:r>
        <w:t>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Publication CEDIDAC 41, Losanna 2000, pag. 253); -   che il matrimonio tra i coniugi __________ è stato concluso il __________ 1982 e quindi anteriormente al 1° gennaio 1995; -   che il calcolo della prestazione d'uscita esistente al momento del matrimonio andrebbe quindi effettuato secondo l'art. 22a LFLP ( Brunner , Die Berücksichtigung von Vorbezügen für Wohneigentum bei der Teilung der Austrittsleistung nach Art. 122 ZGB, in: ZBJV 2000, pag.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l'art. 22a LFLP presuppone tuttavia l'esistenza di averi previdenziali al momento del matrimonio, in caso contrario non vi è prestazione di uscita e tutto l'avere di vecchiaia va considerato accumulato durante il matrimonio ( Vetterli/Keel , Die Aufteilung der beruflichen Vorsorge in der Scheidung, in: AJP 12/99, pag. 1623; STCA del 12 marzo 2001 nella causa AV e CS, __________, cresciuta in giudicato); -   che in casu dagli atti all'inserto, dagli accertamenti esperiti pendente causa e dalle dichiarazioni delle parti, non risulta che all'epoca del matrimonio gli ex coniugi __________ disponessero di prestazioni d'uscita presso un istituto previdenziale e neppure di averi di libero passaggio (cfr. art. 22 cpv. 2 LFLP); -   che di conseguenza le prestazioni di previdenza da dividere secondo la chiave di riparto stabilita dal giudice del divorzio coincidono per entrambi con le prestazioni accumulate durante il matrimonio; -   che la prestazione accumulata da __________ durante il matrimonio corrisponde all'importo di fr. 144'083.60 (e non a fr. 146'674.95 come sostenuto dalla ex moglie in sede d'osservazioni, cfr. doc. _) comunicato dalla __________ di assicurazioni sulla Vita (agente su mandato della __________ Fondazione collettiva LPP, doc. _), quale avere di spettanza della citato - assicurato presso detta Fondazione a far tempo dal 1. dicembre 1999 (doc. _) - al momento della crescita in giudicato della sentenza di divorzio (cfr. Vetterli/Keel , op. cit., pag. 1620); tale ammontare é comprensivo della prestazione di libero passaggio di fr. 108'674.95 trasferita nel dicembre 1999 all'attuale assicuratore da parte della __________ Compagnia d'assicurazioni sulla Vita, alla quale, a sua volta, nel gennaio 1996, era stata trasferita la precedente prestazione di libero passaggio di fr. 71'195.25 maturata presso l'istituto previdenziale della __________ presso cui __________ era stato assicurato a far tempo dal febbraio 1985 (doc. _); -   che pertanto il credito a favore di __________ (metà della prestazione d'uscita accumulata da __________) ammonta a fr. 72'041.80 (144'083.60 : 2); -   che per quanto riguarda invece l'avere di __________, dagli atti all'inserto non risulta che essa abbia accumulato alcunché durante il matrimonio (doc. _), circostanza questa rimasta peraltro incontesta da parte dell'ex marito; -   che per applicazione analogica degli art. 3-5 LFLP stabilita all'art. 22 cpv. 1 LFLP, l'avere a cui il coniuge ha diritto deve essere di principio trasferito nella forma vincolata di prestazione di libero passaggio ai sensi della LFLP e non versato in contanti ( Schneider/Bruchez , La prévoyance professionnelle et le divorce, in: SVZ 68/2000, pag. 258); -   che l'importo dovuto deve pertanto essere accreditato o a un istituto di previdenza o su un conto o polizza di libero passaggio; -   che __________ risulta disporre di un conto di libero passaggio presso la __________, dove la __________ Fondazione collettiva LPP della __________ dovrà quindi trasferire l'importo di fr. 72'041.80.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