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34.2002.62 vom 22. April 2003</w:t>
      </w:r>
    </w:p>
    <w:p>
      <w:r>
        <w:t>TI Tribunale d'appello, 2003-04-22, IT</w:t>
      </w:r>
    </w:p>
    <w:p>
      <w:r>
        <w:rPr>
          <w:b/>
        </w:rPr>
        <w:t xml:space="preserve">Quelle: </w:t>
      </w:r>
      <w:r>
        <w:t>https://mcp.opencaselaw.ch/entscheid/ti_gerichte_34.2002.62</w:t>
      </w:r>
    </w:p>
    <w:p>
      <w:r>
        <w:t>FR: TI_GERICHTE 34.2002.62 du 22 avril 2003</w:t>
      </w:r>
    </w:p>
    <w:p>
      <w:r>
        <w:t>IT: TI_GERICHTE 34.2002.62 del 22 aprile 2003</w:t>
      </w:r>
    </w:p>
    <w:p>
      <w:pPr>
        <w:pStyle w:val="Heading2"/>
      </w:pPr>
      <w:r>
        <w:t>Regeste</w:t>
      </w:r>
    </w:p>
    <w:p>
      <w:r>
        <w:t>Sentenza o decisione senza scheda</w:t>
      </w:r>
    </w:p>
    <w:p>
      <w:pPr>
        <w:pStyle w:val="Heading2"/>
      </w:pPr>
      <w:r>
        <w:t>Erwägungen</w:t>
      </w:r>
    </w:p>
    <w:p>
      <w:r>
        <w:rPr>
          <w:b/>
        </w:rPr>
        <w:t>E. 2</w:t>
      </w:r>
    </w:p>
    <w:p>
      <w:r>
        <w:t>Non appena la decisione sulle quote di ripartizione è passata in giudicato, il giudice rimette d’ufficio la causa al giudice competente secondo la legge del 17 dicembre 1993 sul libero passaggio.</w:t>
      </w:r>
    </w:p>
    <w:p>
      <w:r>
        <w:rPr>
          <w:b/>
        </w:rPr>
        <w:t>E. 3</w:t>
      </w:r>
    </w:p>
    <w:p>
      <w:r>
        <w:t>gli istituti di previdenza professionale presso i quali i coniugi probabilmente detengono averi;</w:t>
      </w:r>
    </w:p>
    <w:p>
      <w:r>
        <w:rPr>
          <w:b/>
        </w:rPr>
        <w:t>E. 4</w:t>
      </w:r>
    </w:p>
    <w:p>
      <w:r>
        <w:t>gli importi degli averi dei coniugi, dichiarati da questi istituti. -   a norma dell'art. 25a LFLP, in vigore dal 1° gennaio 2000 " In caso di disaccordo fra i coniugi sulla prestazione d'uscita da dividere in caso di divorzio (art. 122 e 123 CC), il giudice del luogo del divorzio competente ai sensi dell'articolo 73 capoverso 1 della LPP deve procedere d'ufficio alla divisione sulla base della chiave di ripartizione determinata dal giudice del divorzio, non appena gli sia stata deferita la controversia (art. 142 CC). I coniugi e gli istituti di previdenza professionale hanno qualità di parte in questa procedura. Il giudice impartisce loro un termine adeguato per inoltrare le rispettive conclusioni." -   in concreto, giusta l'art. 25a LFLP competente ratione loci a statuire sulla presente vertenza è lo scrivente TCA quale giudice del luogo del divorzio competente ai sensi dell'art. 73 LPP; la competenza ratione materiae è tuttavia più estesa rispetto a quella stabilita all'art. 73 LPP, ritenuto che, giusta l'art. 25a cpv. 2 LFLP, oltre agli istituti di previdenza, possono essere parte nella procedura anche gli istituti di libero passaggio ( Schneider/Bruchez , La prévoyance professionnelle et le divorce, in: Le nouveau droit du divorce, Publication CEDIDAC 41, Losanna 2000, pag. 253); -   il matrimonio tra i coniugi __________ è stato concluso il 27 ottobre 1978 e quindi anteriormente al 1° gennaio 1995; -   il calcolo della prestazione d'uscita esistente al momento del matrimonio andrebbe quindi effettuato secondo l'art. 22a LFLP ( Brunner , Die Berücksichtigung von Vorbezügen für Wohneigentum bei der Teilung der Austrittsleistung nach Art. 122 ZGB, in: ZBJV 2000, pag. 528), secondo cui " In caso di matrimonio anteriore al 1° gennaio 1995 la prestazione d'uscita esistente al momento della celebrazione del matrimonio è calcolata sulla base di una tabella allestita dal Dipartimento federale dell'interno. Allorché un coniuge, fra la data del matrimonio e il 1° gennaio 1995, non abbia ma cambiato istituto di previdenza, l'importo accertato della sua prestazione d'uscita al momento della celebrazione del matrimonio, calcolato secondo il nuovo diritto, è nondimeno determinante per il calcolo previsto all'articolo 22 capoverso 2. Per il calcolo, a mezzo della tabella, della prestazione d'uscita esistente al momento della celebrazione del matrimonio, sono considerati i seguenti valori: a.   la data e l'importo della prima prestazione d'uscita comunicata d'ufficio conformemente all'articolo 24; allorché una prestazione d'uscita sia scaduta fra il momento della celebrazione del matrimonio e il momento della comunicazione della prestazione d'uscita, determinanti per il calcolo sono l'importo della prestazione scaduta e la data della sua scadenza; b.   la data e l'importo dell'ultima prestazione d'entrata in un nuovo rapporto di previdenza prima della celebrazione del matrimonio; la data dell'inizio del rapporto di previdenza e il valore zero, allorché non sia nota alcuna prestazione d'entrata. Dal valore ottenuto secondo la lettera a sono dedotti il valore calcolato secondo la lettera b e gli eventuali versamenti unici effettuati nell'intervallo, compreso l'interesse fino alla data prevista alla lettera a. La tabella indica quale parte dell'importo così calcolato vale quale prestazione d'uscita esistente al momento della celebrazione del matrimonio. All'importo risultante dalla tabella devono essere aggiunti la prestazione d'entrata dedotta conformemente alla lettera b e i versamenti unici effettuati prima della celebrazione del matrimonio, compreso l'interesse fino a questa data. La tabella tiene conto della durata di contribuzione fra la data del versamento della prestazione d'entrata prevista al capoverso 2 lettera b e la data del versamento della prestazione d'uscita prevista al capoverso 2 lettera a, nonché della durata di matrimonio intercorsa durante questo periodo di contribuzione. I capoversi 1 e 2 si applicano per analogia agli averi di libero passaggio acquisiti prima del 1° gennaio 1995." -   l'art. 22a LFLP presuppone tuttavia l'esistenza di un'affiliazione ad un istituto di previdenza al momento del matrimonio, in caso contrario non vi è prestazione di uscita e tutto l'avere di vecchiaia va considerato accumulato durante il matrimonio ( Vetterli/Keel , Die Aufteilung der beruflichen Vorsorge in der Scheidung, in: AJP 12/99, pag. 1623; STCA del 12 marzo 2001 nella causa AV e CS, __________, cresciuta in giudicato); -   in concreto dagli atti di causa e dagli accertamenti esperiti pendente causa, non risulta che all'epoca del matrimonio gli ex coniugi __________ fossero affiliati ad un istituto di previdenza, né che disponevano di averi di libero passaggio, non beneficiando di conseguenza di alcuna prestazione d'uscita a tale momento; -   di conseguenza le prestazioni di previdenza da dividere secondo la chiave di riparto stabilita dal giudice del divorzio coincidono per entrambi con le prestazioni accumulate durante il matrimonio; -   in concreto la prestazione accumulata da __________ durante il matrimonio corrisponde all'importo di fr. 18'736.40 comunicato dalla Cassa pensioni __________ quale prestazione presente al momento della crescita in giudicato del divorzio (XV; Vetterli/Keel , op.cit., pag. 1620), quella accumulata da __________ all'importo di fr. 65'268.60 indicato dalla __________; -   considerata pertanto la chiave di ripartizione pari, per ognuno degli ex coniugi, alla metà della prestazione accumulata dall'altro coniuge durante il matrimonio, il credito a favore di  __________ ammonta a fr. 32'634.30  (65'268.60 : 2), quello a favore di __________ a fr. 9'368.20 (18'736.40 : 2); -   considerate le suevidenziate reciproche pretese, a favore di __________ spetta, a saldo, una prestazione pari a fr . 23'266.10; -   per applicazione analogica degli art. 3-5 LFLP stabilita all'art. 22 cpv. 1 LFLP, l'avere a cui il coniuge ha diritto deve essere di principio trasferito nella forma vincolata di prestazione di libero passaggio ai sensi della LFLP e non versato in contanti ( Schneider/Bruchez , La prévoyance professionnelle et le divorce, in: SVZ 68/2000, pag. 258); -   l'importo dovuto deve pertanto essere accreditato o a un istituto di previdenza o su un conto o polizza di libero passaggio; -   __________ risulta attualmente affiliata presso la Cassa pensioni __________ dove dovrà quindi essere trasferito l'importo di fr. 23'266.10.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