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34.2001.37 vom 8. Juli 2002</w:t>
      </w:r>
    </w:p>
    <w:p>
      <w:r>
        <w:t>TI Tribunale d'appello, 2002-07-08, IT</w:t>
      </w:r>
    </w:p>
    <w:p>
      <w:r>
        <w:rPr>
          <w:b/>
        </w:rPr>
        <w:t xml:space="preserve">Quelle: </w:t>
      </w:r>
      <w:r>
        <w:t>https://mcp.opencaselaw.ch/entscheid/ti_gerichte_34.2001.37</w:t>
      </w:r>
    </w:p>
    <w:p>
      <w:r>
        <w:t>FR: TI_GERICHTE 34.2001.37 du 8 juillet 2002</w:t>
      </w:r>
    </w:p>
    <w:p>
      <w:r>
        <w:t>IT: TI_GERICHTE 34.2001.37 del 8 luglio 2002</w:t>
      </w:r>
    </w:p>
    <w:p>
      <w:pPr>
        <w:pStyle w:val="Heading2"/>
      </w:pPr>
      <w:r>
        <w:t>Regeste</w:t>
      </w:r>
    </w:p>
    <w:p>
      <w:r>
        <w:t>Sentenza o decisione senza scheda</w:t>
      </w:r>
    </w:p>
    <w:p>
      <w:pPr>
        <w:pStyle w:val="Heading2"/>
      </w:pPr>
      <w:r>
        <w:t>Erwägungen</w:t>
      </w:r>
    </w:p>
    <w:p>
      <w:r>
        <w:rPr>
          <w:b/>
        </w:rPr>
        <w:t>E. 3</w:t>
      </w:r>
    </w:p>
    <w:p>
      <w:r>
        <w:t>lett. a e b OPP2 si computano pure gli interessi pro rata temporis fino al 31 agosto 1994 pari a fr. 1'512, 10 (4% di 43'417 + 6'768 + 4'512 + 2'007,40). In effetti l’avere di vecchiaia comprende per definizione gli interessi sui bonifici di vecchiaia scaduti al momento della realizzazione dell’evento assicurato (DTF 115 V 35 consid. 7; cfr. Commento al progetto dell’OPP2 redatto dall’UFAS, p. 13). L'avere di vecchiaia acquisito fino alla nascita della rendita d'invalidità (1. settembre 1994) ammonta quindi a fr. 58'216,50 (art. 24 cpv. 2 lett. a LPP; cfr. RCC 1985 p. 200). All’avere di vecchiaia effettivo va aggiunto quello fittizio fino all’età che dà diritto alla rendita di vecchiaia, che nel caso di specie sarà raggiunta nel 2006, poiché l’attore è nato nel 1941 (doc. _). Il salario coordinato rilevante per il calcolo degli accrediti di vecchiaia secondo l’art. 24 cpv. 2 lett. b e cpv. 3 LPP e 18 OPP2 è quello relativo all’ultimo anno di assicurazione, in concreto il 1993, e quindi fr. 45’120. L’accredito di vecchiaia per il periodo dal 1. settembre 1994 fino al 31 dicembre 1994 ammonta a fr. 2’266. Quello per il 1995 a fr. 6'798, quelli per gli anni dal  1996 al 2005 (compresi) a fr. 8’121,60 (18% di 45'120) e quello del 2006 a fr. 5'662,56 (l’attore è nato l’11 settembre 1941; doc. _) Ne discende che all’avere di vecchiaia effettivo di fr. 58'216,50 (art. 24 cpv. 2 lett. a LPP), va ad aggiungersi quello fittizio pari a fr. 95'942,55 (art. 24 cpv. 2 lett. b LPP). L’avere di vecchiaia totale ammonta pertanto a fr. 154'159.05. Poiché il grado di invalidità è del 100% la rendita intera annua di invalidità dovuta dal 1. settembre 1994 ammonterebbe a fr. 11'099,45 (fr. 154'159,05 X 7.2%), mensilmente a fr. 924,95. La Fondazione convenuta ha riconosciuto all’attore una prestazione d’invalidità di fr. 11'149 annui e, quindi, di importo leggermente superiore (la differenza è da ricondurre ad una diversa computazione rispetto a quella operata dal TCA delle quote, pro rata temporis, degli accrediti di vecchiaia annui e degli interessi relativamente all'anno 1994; cfr. in particolare XXXIV e XXXVII). Le censure di __________ devono dunque essere integralmente respinte e la rendita concessa dalla convenuta integralmente confermata. 2.9   La rendita deve essere adeguata all’evoluzione dei prezzi (art. 36 cpv. 1 LPP; cfr. AJP 2001 p. 1441). Il tasso di adeguamento corrisponde a quello dell'indice svizzero dei prezzi al consumo del mese di settembre dell’anno in cui comincia a decorrere la rendita e il mese di settembre precedente l’anno in cui avviene l’adeguamento. L’Ufficio federale delle assicurazioni sociali pubblica il tasso di adeguamento (art. 1 cpv. 2 dell’Ordinanza sull’adeguamento delle rendite superstiti e invalidità all’evoluzione dei prezzi; SR 831.426.3). Le rendite per i superstiti e l’invalidità che decorrono da tre anni saranno adattate per la prima volta all’evoluzione dei prezzi all’inizio dell’anno civile seguente (art. 1 cpv. 1 dell’Ord. citata). Correttamente pertanto l’Istituto collettore ha proceduto ad adattare all’evoluzione dei prezzi la rendita in questione a partire dal 1. gennaio 1998 (doc. _). 2.10.   Da quanto precede risulta che la prestazione erogata a __________ dalla Fondazione Istituto collettore LPP non può essere censurata. Di conseguenza, la petizione deve essere respinta. Si ricorda all'assicurato che presso la Fondazione Istituto collettore LPP, Amministrazione conti di libero passaggio, è tuttora depositata, a sua disposizione, la parte eccedente la quota minima LPP della prestazione di libero passaggio versata alla convenuta dalla Fondazione della __________, per un ammontare, al 31 dicembre 2001, di fr. 10'483,55 (XVII).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