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34.2001.34 vom 10. Dezember 2001</w:t>
      </w:r>
    </w:p>
    <w:p>
      <w:r>
        <w:t>TI Tribunale d'appello, 2001-12-10, IT</w:t>
      </w:r>
    </w:p>
    <w:p>
      <w:r>
        <w:rPr>
          <w:b/>
        </w:rPr>
        <w:t xml:space="preserve">Quelle: </w:t>
      </w:r>
      <w:r>
        <w:t>https://mcp.opencaselaw.ch/entscheid/ti_gerichte_34.2001.34</w:t>
      </w:r>
    </w:p>
    <w:p>
      <w:r>
        <w:t>FR: TI_GERICHTE 34.2001.34 du 10 décembre 2001</w:t>
      </w:r>
    </w:p>
    <w:p>
      <w:r>
        <w:t>IT: TI_GERICHTE 34.2001.34 del 10 dicembre 2001</w:t>
      </w:r>
    </w:p>
    <w:p>
      <w:pPr>
        <w:pStyle w:val="Heading2"/>
      </w:pPr>
      <w:r>
        <w:t>Regeste</w:t>
      </w:r>
    </w:p>
    <w:p>
      <w:r>
        <w:t>Sentenza o decisione senza scheda</w:t>
      </w:r>
    </w:p>
    <w:p>
      <w:pPr>
        <w:pStyle w:val="Heading2"/>
      </w:pPr>
      <w:r>
        <w:t>Erwägungen</w:t>
      </w:r>
    </w:p>
    <w:p>
      <w:r>
        <w:rPr>
          <w:b/>
        </w:rPr>
        <w:t>E. 17</w:t>
      </w:r>
    </w:p>
    <w:p>
      <w:r>
        <w:t>gennaio 2000 ed indicante l'importo complessivo di fr. 1'843, tiene conto dei contributi e degli interessi di ritardo dovuti nonché dell'accredito di interessi attivi in base a quanto precedentemente esposto. In esso risultano tuttavia essere state addebitate spese d'esecuzione per fr. 80.- relative ad una precedente procedura esecutiva avviata per errore nei confronti del convenuto nel giugno 2000 ed in seguito ritirata (cfr. VIII3, VIII6; cfr. petizione). In simili circostanze, l'importo di fr. 1'843 fatto valere in petizione deve pertanto essere ridotto a fr. 1'763. 2.6.   L’attrice chiede pure il versamento di interessi di mora del 5 % dal 21 settembre 2000. Poiché l'assicurata è palesemente in mora (art. 102 CO; art. 103 CO), il tasso di interesse corrisponde a quello legale, esso può essere riconosciuto. 2.7.   Le spese esecutive di fr. 70 relative al precetto esecutivo n. __________dell'UE di __________, di cui è chiesto il rigetto dell’opposizione in questa sede, non possono invece essere ammesse. Tali spese non sono infatti oggetto della sentenza di rigetto definitivo dell’opposizione, ma seguono le sorti dell’esecuzione,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§164, p. 414; K. Ammon, Grundriss des Schuldbetreibungs und Konkursrechts, Berna 1983, p. 106), senza che sia necessaria un’esplicita pronuncia nel merito (STCA 21 settembre 1993 in re R.B.). In tal caso esse vengono poste automaticamente a carico del debitore, a seguito del rigetto dell’opposizione. 2.8.   L’attrice chiede infine la pronuncia del rigetto definitivo dell’opposizione interposta al precetto esecutivo no. __________dall’UE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perito,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2.9.   Secondo la legge di procedura per i ricorsi al Tribunale cantonale delle assicurazioni in materia di assicurazioni sociali (art. 20 capoverso 1), applicabile in virtù dell’articolo 8 cpv. 2 della legge di applicazione alla LPP (LALPP) la procedura è di principio gratuita. Di regola non si prelevano pertanto tasse di giustizia e le spese sono poste carico dello Stato. Non si prelevano pertanto tasse di giustizia e le spese sono a carico dello stato. 2.10.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vinca la causa non ha, di regola, diritto a ripetibili (DTF 112 V 356, STCA del 9 marzo 1992 in re F.P. c/S. SA; per le eccezioni vedasi: DTF 112 V 362, RAMI 1992 pag. 164; Nel caso concreto non si assegnano pertanto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