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34.2001.27 vom 14. Februar 2002</w:t>
      </w:r>
    </w:p>
    <w:p>
      <w:r>
        <w:t>TI Tribunale d'appello, 2002-02-14, IT</w:t>
      </w:r>
    </w:p>
    <w:p>
      <w:r>
        <w:rPr>
          <w:b/>
        </w:rPr>
        <w:t xml:space="preserve">Quelle: </w:t>
      </w:r>
      <w:r>
        <w:t>https://mcp.opencaselaw.ch/entscheid/ti_gerichte_34.2001.27</w:t>
      </w:r>
    </w:p>
    <w:p>
      <w:r>
        <w:t>FR: TI_GERICHTE 34.2001.27 du 14 février 2002</w:t>
      </w:r>
    </w:p>
    <w:p>
      <w:r>
        <w:t>IT: TI_GERICHTE 34.2001.27 del 14 febbraio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2.1</w:t>
      </w:r>
    </w:p>
    <w:p>
      <w:r>
        <w:t>e 2.6), la quale, peraltro, proprio a causa dell'innalzamento dell'età legale di pensionamento delle donne in materia di AVS ha visto aumentare il supplemento sostitutivo da versare alle proprie assicurate (cfr. consid. 1.4 e consid. 2.6). In questo contesto è utile ricordare quanto stabilito dall'Alta Corte in DTF 117 V 237: "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2.8.   L'attore invoca inoltre il diritto alla protezione della propria buona fede.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In concreto va rilevato che il quinto presupposto sopra citato non è evidentemente adempiuto, in quanto dopo la comunicazione del 4 maggio 1998 (doc. _) la legge si è modificata. Inoltre la comunicazione 4 maggio 1999 con cui è stato reso noto all'assicurato il calcolo della rendita pensionistica e del relativo supplemento sostitutivo non era errata, la stessa essendo conforme alla normativa allora in vigore. In simili circostanze l'attore non può essere protetto nella propria buona fede. 2.9.   Nel contesto dell'allegata "violazione dei canoni della buona fede" l'attore censura anche la mancata introduzione di un periodo transitorio in relazione all'entrata in vigore della modifica legislativa. Riguardo al principio della buona fede, in una sentenza pubblicata in DTF 122 V 409 il Tribunale federale delle assicurazioni ha sottolineato che: " bb) D'autre part, le principe de la bonne foi, qui découle également de l'art. 4 al. 1 Cst., ne saurait, en règle ordinaire, être invoqué en cas de changement de législation (ATF 113 V 304 consid. 3a, 106 Ia 259 consid. 3c; knapp , Précis de droit administratif, 4 ème éd., n° 513, p. 109).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 moor, Droit administratif, 2 ème éd., vol. I, p. 177; rhinow/krähenmann, S chweizerische Verwaltungsrechtsprechung, volume complémentaire, n. 74 X let. f., p. 234).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 weber-dürler, Vertrauensschutz im öffentlichen Recht, Bâle, 1983, p. 163; kölz, Intertemporales Verwaltungsrecht, RDA 102/1983 II p. 124). Il faut, le cas échéant, procéder à une pesée des intérêts en présence, savoir la protection à la bonne foi, d'une part, et le principe de la légalité qui exige que, sauf motif particulier, les lois ou ordonnances entrent en vigueur sans retard (arrêt du Tribunal fédéral dans la cause VPOD Schweiz, N., E. et B. contre Ville de Zurich et Conseil d'Etat du canton de Zurich du 3 avril 1996 destiné à la publication au RO et déjà partiellement publié dans la SJ 1996 p. 661; ATF 106 Ia 260 consid. 4b)." La critica dell'assicurato risulta infondata anche alla luce della giurisprudenza federale da lui citata (cfr. ZBL 98/1997 p. 65ss, p. 69). In effetti le nuove norme risultano conformi sia al principio dell'uguaglianza di trattamento (cfr. consid. 2.7), che al divieto dell'arbitrio e al principio della proporzionalità. Per il resto l'Alta Corte evidenzia che è di competenza del legislatore scegliere una soluzione transitoria adeguata. Infine, la fattispecie in cui il TFA ha ritenuto inammissibile,  perché contrario al principio della buona fede, l'immediata applicazione del nuovo diritto non è paragonabile, per quanto riguarda la gravità delle conseguenze derivanti dall'assenza di un periodo transitorio (decurtazione del 30% del salario, cfr. ZBl 98/1997 p. 70 consid. 4; cfr. ZBl 78/1977, 267ss), a quella in esame, nella quale nessun elemento agli atti consente peraltro di ritenere che vi siano stati progetti o investimenti da parte dell'assicurato la cui realizzazione è stata impedita o resa vana a causa dell'impossibilità di adattamento alla nuova situazione giuridica. Stante quanto sopra, nella fattispecie non è neppure ravvisabile una violazione del principio della buona fede. 2.10   Pendente causa l'attore ha chiesto la trasmissione, da parte della Cassa pensione, dei dati circa i risparmi e i costi generati dall'applicazione dell'art. 27 cpv. 4 LCP. In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concreto l'assunzione di questi atti non è necessaria ai fini di dirimere la petizione. 2.11   Alla luce di quanto esposto ai considerandi precedenti, in quanto infondata la petizione va respinta. Il supplemento sostitutivo dell'attore va ridotto del 13.6% dal 1 febbraio 2001 al 31 gennaio 2002 e del 6.8% dal 1 febbraio 2002 al 31 gennaio 2003 (consid. 1.4 e 2.3). Correttamente dunque l'importo del supplemento sostitutivo è stato ridotto da fr. 2'276 a fr. 1'967 dal 1° febbraio 2001.</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w:t>
      </w:r>
    </w:p>
    <w:p>
      <w:r>
        <w:rPr>
          <w:b/>
        </w:rPr>
        <w:t>E. 10</w:t>
      </w:r>
    </w:p>
    <w:p>
      <w:r>
        <w:t>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(cfr. STCA del 22 ottobre 2000 nella causa B., __________e STCA del 22 ottobre 2000 nella causa B., __________). 2.7.   L'attore ravvisa pure una violazione del principio dell'uguaglianza di trattamento, in quanto dalla disposizione in esame è stata colpita una cerchia ristretta di pensionati, che già hanno sopportato il blocco del rincaro. Il principio dell’uguaglianza di trattamento esige che fattispeci simili vengano trattate allo stesso modo, mentre fattispeci diverse vengano trattate differentemente (art. 8 Cost.; VSI 1999 p. 34 consid. 2d; DTF 117 V 317 consid. 4b; DTF 115 V 233 consid. 6; DTF 114 V 108 consid. 3b; DTF 100 Ia 93; RKUV 1987 p. 27; A. Maurer, Bundessozialversicherungsrecht, Basilea e Francoforte 1994, p. 27). Se la situazione di fatto è sostanzialmente diversa non vi è disparità di trattamento. Vanno infatti prese in considerazione solo differenze rilevanti. Motivi pratici o tecnici possono inoltre giustificare una disuguaglianza di trattamento se ciò non conduce a un risultato iniquo (DTF 107 V 106). Questo Tribunale, con riferimento anche alla giurisprudenza federale esposta al consid. 2.5 (vedi pure: SVR 2000 BVG Nr. 12), ritiene che la modifica legislativa non viola il principio dell'uguaglianza di trattamento ai sensi dell'art. 8 cpv. 1 Cost. fed. (cfr. DTF 127 V 256-257, DTF 127 V 8 pag. 180; SVR 2001 AVS Nr. 3; SJ 2001 pag. 416-417; SZS 2001 pag. 385-386; DTF 119 V 130; DTF 126 V 40; DTF 126 V 53, DTF 126 V 62; DTF 126 V 73; DTF 126 V 106 e 110; DTF 126 V 225; DTF 126 V 359-360; DTF 126 V 438 e 441; DTF 126 V 504-505; Pratique VSI 2000 pag. 180; SVR 2000 LPC Nr. 3) in quanto, da una parte, essa tratta allo stesso modo tutte le persone già pensionate alle quali può ancora essere operata la riduzione per coordinarla con le disposizioni introdotte con la decima revisione dell'AVS e, d'altra parte, instaura un'uguaglianza di trattamento tra le persone pensionate dopo il 1° ottobre 2000 (che beneficiano di prestazioni ridotte a seguito della modifica della LCP, cfr. consid. 1.4 e consid. 2.6) e le persone pensionate alcuni anni prima ma che non hanno ancora raggiunto l'età in cui potrebbero ottenere l'anticipo della rendita AVS (cfr. SZS 1989 pag. 326-327; SJ 2001 pag. 420-422). D'altra parte, l'applicabilità immediata della disposizione sul supplemento sostitutivo non può certamente essere ritenuta arbitraria, visto che essa instaura un coordinamento con le disposizioni dell'AVS in vigore dal 1° gennaio 1997 (cfr. SZS 2001 pag. 385-386) e si inserisce inoltre in un insieme di misure atte a garantire un sufficiente grado di copertura alla Cassa pensioni dei dipendenti __________ (cfr.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