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34.2000.7 vom 2. Oktober 2000</w:t>
      </w:r>
    </w:p>
    <w:p>
      <w:r>
        <w:t>TI Tribunale d'appello, 2000-10-02, IT</w:t>
      </w:r>
    </w:p>
    <w:p>
      <w:r>
        <w:rPr>
          <w:b/>
        </w:rPr>
        <w:t xml:space="preserve">Quelle: </w:t>
      </w:r>
      <w:r>
        <w:t>https://mcp.opencaselaw.ch/entscheid/ti_gerichte_34.2000.7</w:t>
      </w:r>
    </w:p>
    <w:p>
      <w:r>
        <w:t>FR: TI_GERICHTE 34.2000.7 du 2 octobre 2000</w:t>
      </w:r>
    </w:p>
    <w:p>
      <w:r>
        <w:t>IT: TI_GERICHTE 34.2000.7 del 2 ottobre 2000</w:t>
      </w:r>
    </w:p>
    <w:p>
      <w:pPr>
        <w:pStyle w:val="Heading2"/>
      </w:pPr>
      <w:r>
        <w:t>Regeste</w:t>
      </w:r>
    </w:p>
    <w:p>
      <w:r>
        <w:t>Sentenza o decisione senza scheda</w:t>
      </w:r>
    </w:p>
    <w:p>
      <w:pPr>
        <w:pStyle w:val="Heading2"/>
      </w:pPr>
      <w:r>
        <w:t>Erwägungen</w:t>
      </w:r>
    </w:p>
    <w:p>
      <w:r>
        <w:rPr>
          <w:b/>
        </w:rPr>
        <w:t>E. 1</w:t>
      </w:r>
    </w:p>
    <w:p>
      <w:r>
        <w:t>precisa che, a titolo di premi, al datore di lavoro viene conteggiato il premio base per l’assicurazione vecchiaia insieme con il premio supplementare per l’assicurazione di rischio. Gli accrediti di vecchiaia vengono calcolati ogni anno in percento del salario assicurato (cfr, regolamento art. 2.5), sulla base di determinate aliquote che dipendono dall'età (cfr. punto I cifra 2 del contratto di adesione, Doc. _). Il premio di rischio viene determinato in base alla tariffa collettiva approvata dall'UFAS (C. Helbling, Personalvorsorge und BVG, Berna e Stoccarda 1990, p. 67). La cifra</w:t>
      </w:r>
    </w:p>
    <w:p>
      <w:r>
        <w:rPr>
          <w:b/>
        </w:rPr>
        <w:t>E. 3</w:t>
      </w:r>
    </w:p>
    <w:p>
      <w:r>
        <w:t>del punto 6 prevede invece le modalità di finanziamento delle spese accessorie LPP, che si compongono dello 0,04 % del salario annuo assicurato come quota di finanziamento per il fondo di garanzia ai sensi dell'art. 59 LPP, dell' 1% del salario annuo assicurato per misure speciali (art. 70 LPP), e, infine, dello 0,5 % per gli uomini, risp. dello 0,25 % per le donne, del salario assicurato come premio supplementare per il finanziamento delle indennità di rincaro (Doc. _ cifra VI, 3). 2.4.   Dai documenti agli atti emerge che il calcolo dei contributi previdenziali dovuti dalla __________ è stato effettuato conformemente alle disposizioni regolamentari suesposte, tenuto conto del salario coordinato LPP. Il calcolo dei contributi dovuti, rimasti insoluti, si fonda su questi elementi e su quelli esposti al paragrafo precedente. Del resto la convenuta non ha contestato né l'obbligo contributivo, né l'ammontare dei contributi, ma anzi l'ha ripetutamente ammesso, omettendo però di far fronte ai piani di pagamento da lei sottoscritti (cfr. doc. _). In simili condizioni la petizione non può che essere accolta e la  convenuta condannata a versare i contributi previdenziali chiesti dall'attrice con la petizione pari a fr. 13'673.20. 2.5.   Sull’importo dei contributi la Fondazione chiede anche che le siano assegnati interessi di mora del 5% dal 30 novembre 1998. Anche questa richiesta non è contestata. Poiché il tasso è pari a quello legale (art. 104 cpv. 1 CO) e la convenuta è palesemente in mora con il pagamento dei contributi (art. 102 CO), la pretesa, in quanto fondata, può essere riconosciuta. Su questo punto la petizione è quindi accolta e la convenuta condannata a versare fr. 13'673.20, oltre a interessi del 5% dal 30 novembre 1998. 2.6.   Per quanto riguarda le spese esecutive relative al precetto di cui è chiesto il rigetto dell'opposizione in questa sede si precisa che esse non sono oggetto della sentenza di rigetto definitivo dell’opposizione, ma seguono le sorti dell’esecuzione in quanto costituiscono un’accessorio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K.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La richiesta, in quanto infondata, va quindi respinta, 2.7.   L’attrice chiede infine la pronuncia del rigetto definitivo dell’opposizione del precetto esecutivo no. 373716 del 14 luglio 1999 agli atti (doc. _). Si ricorda in proposito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(cfr. DTF 121 V 109ss e DTF 119 V 329ss.).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può essere ammessa. 2.8.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Il TFA ha tuttavia stabilito che l'esclusione della gratuità della procedura in caso di introduzione di procedimenti temerari o per leggerezza costituisce un principio processuale generale del diritto federale della assicurazioni sociali (DTF 124 V 285-287; DTF 118 V 319ss; STFA del 17 luglio 1998 in re T).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2.9   Nel caso concreto dagli atti emerge che la convenuta non ha rispettato le fatture, i solleciti e i piani di pagamento sottoscritti, ha chiesto la possibilità di pagare ratealmente omettendo poi di sottoscrivere le proposte, ha provocato l'avvio di procedure esecutive, e infine ha chiesto la proroga per intervenire in causa, ma non ha fatto fronte né al termine prorogato. In simili condizioni il suo comportamento va considerato temerario ai sensi della succitata giurisprudenza e quindi le spese di procedura di fr. 800 vanno poste a suo carico. 2.10.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2.10.   Visto quanto sopra la Fondazione, vittoriosa in causa, non ha diritto al rimborso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