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34.2000.55 vom 22. Oktober 2001</w:t>
      </w:r>
    </w:p>
    <w:p>
      <w:r>
        <w:t>TI Tribunale d'appello, 2001-10-22, IT</w:t>
      </w:r>
    </w:p>
    <w:p>
      <w:r>
        <w:rPr>
          <w:b/>
        </w:rPr>
        <w:t xml:space="preserve">Quelle: </w:t>
      </w:r>
      <w:r>
        <w:t>https://mcp.opencaselaw.ch/entscheid/ti_gerichte_34.2000.55</w:t>
      </w:r>
    </w:p>
    <w:p>
      <w:r>
        <w:t>FR: TI_GERICHTE 34.2000.55 du 22 octobre 2001</w:t>
      </w:r>
    </w:p>
    <w:p>
      <w:r>
        <w:t>IT: TI_GERICHTE 34.2000.55 del 22 ottobre 2001</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2.1</w:t>
      </w:r>
    </w:p>
    <w:p>
      <w:r>
        <w:t>e 2.6), la quale, peraltro, proprio a causa dell'innalzamento dell'età legale di pensionamento delle donne in materia di AVS ha visto aumentare il supplemento sostitutivo da versare alle proprie assicurate (cfr. consid. 1.4 e consid. 2.6). In questo contesto è utile ricordare quanto stabilito dall'Alta Corte in DTF 117 V 237: "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In conclusione, a mente del TCA, il nuovo art. 27 cpv. 4 LCP va applicato anche a coloro che già percepivano il supplemento sostitutivo al momento dell'entrata in vigore della norma, come correttamente stabilito dalla Cassa pensioni. Il supplemento sostitutivo dell'attore deve dunque essere ridotto del 6,8% e precisamente di 76 franchi mensili (da fr. 1'111 a fr. 1'035), a partire dal 1° ottobre 2000 (consid. 1.4 e 2.2). 2.7.   L'assicurato contesta pure la compensazione con le prestazioni dovute nel mese di novembre, dell'importo versato in più durante il mese di ottobre, pari a fr. 76. Secondo l'art. 13 cpv. 1 del Regolamento della Cassa pensioni dei dipendenti __________ del 26 maggio 1996: " se la prestazione della Cassa è stata calcolata in modo errato deve essere rettificata. Gli importi versati in più o in meno sono rimborsati o versati senza interessi." (vedi pure: sulla restituzione quale principio generale del diritto delle assicurazioni sociali, DTF 119 V 39, RDAT II-1998 pag. 223 seg. e art. 25 della Legge federale sulla parte generale del diritto delle assicurazioni sociali (LFPG) del 6 ottobre 2000 - in FF 2000 pag. 4379 seg. - non ancora entrata in vigore). L'assicurato è dunque tenuto a restituire fr. 76.- indebitamente versatigli nel mese di ottobre 2000. L'art. 29 LCP (dedicato alla "compensazione") prescrive al cpv. 1 che "il diritto alle prestazioni non può essere ceduto né costituito in pegno prima dell'esigibilità. E' riservato l'art. 7a" (quest'ultima è una norma specifica per quel che riguarda la promozione della proprietà d'abitazione). Secondo dottrina e giurisprudenza la compensabilità di due pretese configura un principio generale del diritto, previsto, in ambito civile agli art. 120ss CO e applicabile anche al diritto amministrativo (STFA del 1. settembre 1998 non pubbl. nella causa M.H pag. 3 consid. 2a; DTF 126 V 315).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(STFA del 1. settembre 1998 nella causa M.H; DTF 110 V 185 consid. 2 e dottrina citata; cfr. art. 39 cpv. 2 LPP; DTF 114 V 33).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nella causa M.H pag.-. 4 e dottrina citata; sull'esigibilità cfr. in particolare DTF 126 V 263-264). Sempre secondo l'Alta Corte federale, inoltre, il minimo vitale ai sensi del diritto esecutivo dev'essere rispettato (cfr. STFA non pubbl. del 17 settembre 1991 consid. 5c). 2.8.   In concreto i primi due presupposti sono senz'altro dati. Si tratta infatti di prestazioni fondate sulla LCP che concernono __________ e la Cassa pensioni dei dipendenti __________. Per quanto riguarda il minimo vitale del diritto esecutivo si rileva che con effetto dal 1 gennaio 2001 la Camera di esecuzioni e fallimenti del Tribunale di appello ha emanato la nuova tabella per il calcolo del minimo esistenziale (cfr. FUC 2/2001). L'assicurato dispone di fr. 3'948 a titolo di rendita di vecchiaia della Cassa pensioni e di supplemento sostitutivo. Egli beneficia inoltre di una mezza rendita di invalidità che nel 1998 ammontava a fr. 1'242 mensili e a una rendita __________ di fr. 259 (cfr. atti fiscali, XII). Egli possiede inoltre proprietà fondiaria a __________, gravata di un debito di fr. 60'000, il cui valore di stima è pari a fr. 478'150. Da questo immobile ricava inoltre fr. 12'000 annui a titolo di pigione. Un altro fondo del valore di fr. 18'152 e sito nel Comune di __________ risulta di proprietà dell'interessato. Il reddito conseguito quale pigione da questo fondo è di fr. 450 La famiglia dispone quindi di fr. 6'900 mensili. L'importo base mensile per coniugi è di fr. 1'550, a cui va aggiunto l'ammontare del canone di locazione (senza le spese di elettricità e gas perché già contenute nell'importo minimo), le spese di riscaldamento, gli oneri sociali. In particolare dalla notifica di tassazione 1999/2000, che su questi punti non è contestata, così come dalla dichiarazione dell'assicurato per il medesimo biennio, risulta che l'assicurato versa a titolo di spese per manutenzione fabbricati e interessi ipotecari per l'immobile in cui abita, circa fr. 8'500,  a titolo di contributi AVS/AI fr. 2'369, a titolo di premi a favore del secondo pilastro fr. 5'096 e quali premi per la Cassa malati fr. 7'400 annui, per un totale di ca. fr. 2'000 mensili. A fronte di spese per fr. 3'550 mensili, l'assicurato dispone di redditi per fr. 6'900. Anche considerando un importo equo per spese mediche (cifra</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L'assicurato sostiene implicitamente che l'art. 27 cpv. 4 LCP non deve avere effetto retroattivo, in particolare non deve essere applicato a quegli assicurati che già percepiscono il supplemento, ma solo a quelli il cui diritto sorge dopo il 1 ottobre 2001.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1996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In particolare questa conclusione non può essere dedotta dal provvedimento con cui è stato fissato l'ammontare della rendita (doc. _). In effetti in tale occasione la Cassa pensioni non ha dato, in un caso concreto, garanzia alcuna sull'immutabilità dell'ammontare della rendita o del suo supplemento sostitutivo per il futuro. L'assicurato non può dunque validamente invocare la garanzia dei diritti acquisiti per continuare a beneficiare del supplemento sostitutivo non ridotto, anche dopo il 1° ottobre 2000. Va peraltro ancora sottolineato, con riferimento alla giurisprudenza federale esposta al consid. 2.5 (vedi pure: SVR 2000 BVG Nr. 12), che la modifica legislativa non viola il principio dell'uguaglianza di trattamento ai sensi dell'art. 8 cpv. 1 Cost. fed. (cfr. SJ 2001 pag. 416-417; SZS 2001 pag. 385-386; DTF 119 V 130; DTF 126 V 40; DTF 126 V 53, DTF 126 V 62; DTF 126 V 73; DTF 126 V 106 e 110; DTF 126 V 225; DTF 126 V 359-360; DTF 126 V 438 e 441; DTF 126 V 504-505; Pratique VSI 2000 pag. 180; SVR 2000 LPC Nr. 3, DTF 127 V 8 pag. 180; SVR 2001 AVS Nr. 3) in quanto, da una parte, essa tratta allo stesso modo tutte le persone già pensionate alle quali può ancora essere operata la riduzione per coordinarla con le disposizioni introdotte con la decima revisione dell'AVS e, d'altra parte, instaura un'uguaglianza di trattamento tra le persone pensionate dopo il 1° ottobre 2000 (che beneficiano di prestazioni ridotte a seguito della modifica della LCP, cfr. consid. 1.4 e consid. 2.6) e le persone pensionate alcuni anni prima ma che non hanno ancora raggiunto l'età in cui potrebbero ottenere l'anticipo della rendita AVS (cfr. SZS 1989 pag. 326-327; SJ 2001 pag. 420-422). D'altra parte, l'applicabilità immediata della disposizione sul supplemento sostitutivo non può certamente essere ritenuta arbitraria, visto che essa instaura un coordinamento con le disposizioni dell'AVS in vigore dal 1° gennaio 1997 (cfr. SZS 2001 pag. 385-386) e si inserisce inoltre in un insieme di misure atte a garantire un sufficiente grado di copertura alla Cassa pensioni dei dipendenti __________ (cfr. consid. 1.4,</w:t>
      </w:r>
    </w:p>
    <w:p>
      <w:r>
        <w:rPr>
          <w:b/>
        </w:rPr>
        <w:t>E. 8</w:t>
      </w:r>
    </w:p>
    <w:p>
      <w:r>
        <w:t>dei supplementi della tabella per il calcolo dei minimi di esistenza agli effetti del diritto esecutivo) e di spese di riscaldamento (cifra 2), l'assicurato poteva senz'altro sopportare, tramite compensazione, la restituzione dell'importo di fr. 76, versato in più dalla Cassa pensioni nel mese di ottobre, senza che venisse intaccato il suo minimo vitale. La Cassa pensioni ha dunque agito correttamente, operando la compensazione al momento di versare le sue prestazioni per il mese di novembre.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