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34.2000.5 vom 13. November 2000</w:t>
      </w:r>
    </w:p>
    <w:p>
      <w:r>
        <w:t>TI Tribunale d'appello, 2000-11-13, IT</w:t>
      </w:r>
    </w:p>
    <w:p>
      <w:r>
        <w:rPr>
          <w:b/>
        </w:rPr>
        <w:t xml:space="preserve">Quelle: </w:t>
      </w:r>
      <w:r>
        <w:t>https://mcp.opencaselaw.ch/entscheid/ti_gerichte_34.2000.5</w:t>
      </w:r>
    </w:p>
    <w:p>
      <w:r>
        <w:t>FR: TI_GERICHTE 34.2000.5 du 13 novembre 2000</w:t>
      </w:r>
    </w:p>
    <w:p>
      <w:r>
        <w:t>IT: TI_GERICHTE 34.2000.5 del 13 novembre 2000</w:t>
      </w:r>
    </w:p>
    <w:p>
      <w:pPr>
        <w:pStyle w:val="Heading2"/>
      </w:pPr>
      <w:r>
        <w:t>Regeste</w:t>
      </w:r>
    </w:p>
    <w:p>
      <w:r>
        <w:t>Sentenza o decisione senza scheda</w:t>
      </w:r>
    </w:p>
    <w:p>
      <w:pPr>
        <w:pStyle w:val="Heading2"/>
      </w:pPr>
      <w:r>
        <w:t>Erwägungen</w:t>
      </w:r>
    </w:p>
    <w:p>
      <w:r>
        <w:rPr>
          <w:b/>
        </w:rPr>
        <w:t>E. 1</w:t>
      </w:r>
    </w:p>
    <w:p>
      <w:r>
        <w:t>Il proponente deve dichiarare per iscritto all'assicuratore, sulla scorta di un questionario o in risposta ad altre domande scritte, tutti i fatti rilevanti per l'apprezzamento del rischio, in quanto e come gli sono o gli devono essere noti alla conclusione del contratto.</w:t>
      </w:r>
    </w:p>
    <w:p>
      <w:r>
        <w:rPr>
          <w:b/>
        </w:rPr>
        <w:t>E. 2</w:t>
      </w:r>
    </w:p>
    <w:p>
      <w:r>
        <w:t>Sono rilevanti i fatti che possono influire sulla determinazione dell'assicuratore a conchiudere il contratto od a conchiuderlo alle condizioni convenute.</w:t>
      </w:r>
    </w:p>
    <w:p>
      <w:r>
        <w:rPr>
          <w:b/>
        </w:rPr>
        <w:t>E. 3</w:t>
      </w:r>
    </w:p>
    <w:p>
      <w:r>
        <w:t>Il cheratocono bilaterale va considerato, da un punto di vista medico, una grave malattia? Questo dipende dal grado e dall'evoluzione del cheratocono. Nel caso in esame può essere considerata una grave malattia.</w:t>
      </w:r>
    </w:p>
    <w:p>
      <w:r>
        <w:rPr>
          <w:b/>
        </w:rPr>
        <w:t>E. 4</w:t>
      </w:r>
    </w:p>
    <w:p>
      <w:r>
        <w:t>Come viene vissuta dal paziente questa affezione? Abbastanza male, data la pochezza visiva.</w:t>
      </w:r>
    </w:p>
    <w:p>
      <w:r>
        <w:rPr>
          <w:b/>
        </w:rPr>
        <w:t>E. 5</w:t>
      </w:r>
    </w:p>
    <w:p>
      <w:r>
        <w:t>Ogni forma di cheratocono bilaterale implica un giorno o l'altro un'operazione di cheratoplastica ad entrambi gli occhi? Non necessariamente ed a dipendenza dalla gravità dell'affezione, dalla sua evoluzione e soprattutto dalla diminuzione visiva. Nel caso in esame l'operazione fu giudicata indispensabile.</w:t>
      </w:r>
    </w:p>
    <w:p>
      <w:r>
        <w:rPr>
          <w:b/>
        </w:rPr>
        <w:t>E. 6</w:t>
      </w:r>
    </w:p>
    <w:p>
      <w:r>
        <w:t>E' possibile che non si giunga mai alla necessità di operare? Vedi punto 5." (XI) 2.5.   Nel caso concreto, questa Corte, in virtù della documentazione agli atti, deve concludere che __________ ha violato il suo obbligo di notifica nei confronti della Cassa pensioni __________. Infatti, l'assicurata ha risposto negativamente alla domanda 4, sebbene fosse stata ospedalizzata nel 1987 per subire un'operazione (cfr. consid. 2.4). Questa domanda parla semplicemente di "operazione" e non di "grave operazione" per cui ogni possibilità di equivoco era esclusa. Poiché l'assicurata ha commesso reticenza, essa non può avvalersi delle prestazioni sovraobbligatorie della previdenza professionale. La petizione dev'essere quindi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