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34.2000.34 vom 17. April 2001</w:t>
      </w:r>
    </w:p>
    <w:p>
      <w:r>
        <w:t>TI Tribunale d'appello, 2001-04-17, IT</w:t>
      </w:r>
    </w:p>
    <w:p>
      <w:r>
        <w:rPr>
          <w:b/>
        </w:rPr>
        <w:t xml:space="preserve">Quelle: </w:t>
      </w:r>
      <w:r>
        <w:t>https://mcp.opencaselaw.ch/entscheid/ti_gerichte_34.2000.34</w:t>
      </w:r>
    </w:p>
    <w:p>
      <w:r>
        <w:t>FR: TI_GERICHTE 34.2000.34 du 17 avril 2001</w:t>
      </w:r>
    </w:p>
    <w:p>
      <w:r>
        <w:t>IT: TI_GERICHTE 34.2000.34 del 17 aprile 2001</w:t>
      </w:r>
    </w:p>
    <w:p>
      <w:pPr>
        <w:pStyle w:val="Heading2"/>
      </w:pPr>
      <w:r>
        <w:t>Regeste</w:t>
      </w:r>
    </w:p>
    <w:p>
      <w:r>
        <w:t>Sentenza o decisione senza scheda</w:t>
      </w:r>
    </w:p>
    <w:p>
      <w:pPr>
        <w:pStyle w:val="Heading2"/>
      </w:pPr>
      <w:r>
        <w:t>Erwägungen</w:t>
      </w:r>
    </w:p>
    <w:p>
      <w:r>
        <w:rPr>
          <w:b/>
        </w:rPr>
        <w:t>E. 12</w:t>
      </w:r>
    </w:p>
    <w:p>
      <w:r>
        <w:t>maggio 2000, senza che il creditore debba previamente chiedere il rigetto definitivo dell'opposizione al giudice dell'esecuzione. 2.11   Secondo la legge di procedura per i ricorsi al Tribunale cantonale delle assicurazioni in materia di assicurazioni sociali (art. 20 capoverso 1), applicabile in virtù dell’articolo 8 cpv. 2 LALPP la procedura è di principio gratuita. Il TFA ha tuttavia stabilito un’eccezione alla gratuità della procedura in caso di introduzione di procedimenti temerari o per leggerezza (DTF 124 V 285-287; SZS 1998 pag. 64;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della convenuta.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__________ contro P Sagl). Nel caso in esame la convenuta non ha dato seguito alle richieste di pagamento inviatele dall’attrice, ha interposto opposizione al  precetto esecutivo, è intervenuta in causa, promettendo pagamenti rateali alla Cassa a cui in realtà non ha mai dato seguito neppure una volta. Alla luce della suesposta giurisprudenza il comportamento della convenuta va considerato temerario. Di conseguenza vanno poste a suo carico tasse e spese di procedura per fr. 1'000 (cfr. STCA del 28 gennaio 1999 nella causa __________ contro P. Sagl).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