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34.2000.27 vom 12. März 2001</w:t>
      </w:r>
    </w:p>
    <w:p>
      <w:r>
        <w:t>TI Tribunale d'appello, 2001-03-12, IT</w:t>
      </w:r>
    </w:p>
    <w:p>
      <w:r>
        <w:rPr>
          <w:b/>
        </w:rPr>
        <w:t xml:space="preserve">Quelle: </w:t>
      </w:r>
      <w:r>
        <w:t>https://mcp.opencaselaw.ch/entscheid/ti_gerichte_34.2000.27</w:t>
      </w:r>
    </w:p>
    <w:p>
      <w:r>
        <w:t>FR: TI_GERICHTE 34.2000.27 du 12 mars 2001</w:t>
      </w:r>
    </w:p>
    <w:p>
      <w:r>
        <w:t>IT: TI_GERICHTE 34.2000.27 del 12 marzo 2001</w:t>
      </w:r>
    </w:p>
    <w:p>
      <w:pPr>
        <w:pStyle w:val="Heading2"/>
      </w:pPr>
      <w:r>
        <w:t>Erwägungen</w:t>
      </w:r>
    </w:p>
    <w:p>
      <w:r>
        <w:rPr>
          <w:b/>
        </w:rPr>
        <w:t>E. 22</w:t>
      </w:r>
    </w:p>
    <w:p>
      <w:r>
        <w:t>cpv. 2, 26 cpv. 3 LFLP, art. 8a OLP e art. 12 OPP 2), è pari a fr. 15'594.-. Ne consegue che l'avere di __________ accumulato durante il matrimonio, corrispondente alla differenza tra prestazione d'uscita al momento del divorzio (fr. 105'631.-) e la prestazione d'uscita al momento del matrimonio più gli interessi (fr. 15'594.-), e non essendo per il resto stato effettuato alcun versamento anticipato durante il matrimonio, deve essere cifrato in fr. 90'037.-. Di conseguenza, posta la chiave di ripartizione stabilita dal giudice del divorzio (per entrambi i coniugi metà della prestazione accumulata dall'altro coniuge), il credito a favore di __________ ammonta a fr. 45'018.50 (90'037 : 2); -   che per __________, la stessa, come visto, non essendo affiliata a nessun istituto di previdenza e non disponendo di averi di libero passaggio al momento del matrimonio e disponendo di un avere di libero passaggio al momento del divorzio, l'avere accumulato durante il matrimonio corrisponde all'ammontare dell'unico avere di libero passaggio di fr. 25'754.65 presso la Fondazione __________ esistente al momento del divorzio. Infatti, giusta l'art. 22 cpv. 2 LFLP oggetto della divisione in caso di divorzio non sono soltanto le prestazioni d'uscita ma anche gli averi di libero passaggio esistenti al momento del divorzio rispettivamente alla conclusione del matrimonio. D'altronde pure nel campo d'applicazione (materiale) dell'art. 122 CC, che disciplina la divisione dell'avere d'uscita in caso di divorzio, rientrano non soltanto le prestazioni d'uscita ma anche i diritti verso istituzioni di libero passaggio (cfr. Schneider/Bruchez, La prévoyance professionnelle et le divorce, in SVZ 68/2000, p. 248); -   che di conseguenza, conformemente alla chiave di ripartizione stabilita nella sentenza di divorzio, il credito a favore di __________ ammonta a fr. 12'877.30 (25'754.65 : 2); -   che, per il resto, gli importi comunicati dai rispettivi istituti di previdenza e di libero passaggio non sono stati contestati dalle parti nelle more della presente procedura. Incontestata è pure rimasta la data alla quale sono state calcolate le prestazioni d'uscita al momento del divorzio, ovvero il 31 maggio 2000; -   che considerate le suevidenziate reciproche pretese dei coniugi, a favore di __________ spetta a saldo una prestazione d'uscita pari a fr. 32'141.20; -   che per applicazione analogica degli artt. 3-5 LFLP stabilita all'art. 22 cpv. 1 LFLP, l'avere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come visto, in base alle informazioni fornite da __________ nelle more della presente procedura, essa dispone di un conto di libero passaggio presso la Fondazione di libero passaggio __________, sul quale dovrà quindi essere trasferito l'importo di fr. 32'141.20;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