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34.2000.26 vom 8. November 2001</w:t>
      </w:r>
    </w:p>
    <w:p>
      <w:r>
        <w:t>TI Tribunale d'appello, 2001-11-08, IT</w:t>
      </w:r>
    </w:p>
    <w:p>
      <w:r>
        <w:rPr>
          <w:b/>
        </w:rPr>
        <w:t xml:space="preserve">Quelle: </w:t>
      </w:r>
      <w:r>
        <w:t>https://mcp.opencaselaw.ch/entscheid/ti_gerichte_34.2000.26</w:t>
      </w:r>
    </w:p>
    <w:p>
      <w:r>
        <w:t>FR: TI_GERICHTE 34.2000.26 du 8 novembre 2001</w:t>
      </w:r>
    </w:p>
    <w:p>
      <w:r>
        <w:t>IT: TI_GERICHTE 34.2000.26 del 8 novembre 2001</w:t>
      </w:r>
    </w:p>
    <w:p>
      <w:pPr>
        <w:pStyle w:val="Heading2"/>
      </w:pPr>
      <w:r>
        <w:t>Regeste</w:t>
      </w:r>
    </w:p>
    <w:p>
      <w:r>
        <w:t>Sentenza o decisione senza scheda</w:t>
      </w:r>
    </w:p>
    <w:p>
      <w:pPr>
        <w:pStyle w:val="Heading2"/>
      </w:pPr>
      <w:r>
        <w:t>Erwägungen</w:t>
      </w:r>
    </w:p>
    <w:p>
      <w:r>
        <w:rPr>
          <w:b/>
        </w:rPr>
        <w:t>E. 1</w:t>
      </w:r>
    </w:p>
    <w:p>
      <w:r>
        <w:t>Nella prospettiva di un possibile reinserimento nella vita attiva, l’istituto di previdenza deve continuare a tenere il conto di vecchiaia di un invalido a cui versa una rendita, fino al momento in cui questi ha raggiunto l’età conferente il diritto alla rendita di vecchiaia.</w:t>
      </w:r>
    </w:p>
    <w:p>
      <w:r>
        <w:rPr>
          <w:b/>
        </w:rPr>
        <w:t>E. 2</w:t>
      </w:r>
    </w:p>
    <w:p>
      <w:r>
        <w:t>L’avere di vecchiaia dell’invalido deve fruttare interesse.</w:t>
      </w:r>
    </w:p>
    <w:p>
      <w:r>
        <w:rPr>
          <w:b/>
        </w:rPr>
        <w:t>E. 3</w:t>
      </w:r>
    </w:p>
    <w:p>
      <w:r>
        <w:t>Il salario coordinato durante l’ultimo anno d’assicurazione (art. 18) serve da base di calcolo degli accrediti di vecchiaia durante l’invalidità.</w:t>
      </w:r>
    </w:p>
    <w:p>
      <w:r>
        <w:rPr>
          <w:b/>
        </w:rPr>
        <w:t>E. 4</w:t>
      </w:r>
    </w:p>
    <w:p>
      <w:r>
        <w:t>Se il diritto a una rendita d’invalidità si estingue in seguito a scomparsa dell’invalidità, l’assicurato ha diritto a una prestazione di libero passaggio il cui importo corrisponde al suo avere di vecchiaia." Di transenna si rilevi infine che il calcolo, eseguito al momento attuale, del capitale di vecchiaia maturato all'età di pensionamento, avrebbe comunque un valore puramente teorico se si considera che lo stesso dipende da fattori, in particolare dal grado di incapacità lavorativa dell'interessato, ancora suscettibili di modifica prima del raggiungimento dell'età termine. Ritenuto pertanto che nel caso concreto l'attore non può avvalersi di un interesse degno di protezione all'accertamento del capitale di vecchiaia e della relativa prestazione di vecchiaia, la petizione, nella misura in cui non è priva d'oggetto, deve essere dichiarata irricevibile. 2.7   Ritenuta l'irricevibilità della petizione presentata da __________, può restare indecisa la questione relativa ad un'eventuale legittimazione passiva della __________, società gerente dell'omonima fondazione (cfr. STFA inedita del 10 giugno 1996 in re M., B 38/94).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