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34.2000.2 vom 10. August 2000</w:t>
      </w:r>
    </w:p>
    <w:p>
      <w:r>
        <w:t>TI Tribunale d'appello, 2000-08-10, IT</w:t>
      </w:r>
    </w:p>
    <w:p>
      <w:r>
        <w:rPr>
          <w:b/>
        </w:rPr>
        <w:t xml:space="preserve">Quelle: </w:t>
      </w:r>
      <w:r>
        <w:t>https://mcp.opencaselaw.ch/entscheid/ti_gerichte_34.2000.2</w:t>
      </w:r>
    </w:p>
    <w:p>
      <w:r>
        <w:t>FR: TI_GERICHTE 34.2000.2 du 10 août 2000</w:t>
      </w:r>
    </w:p>
    <w:p>
      <w:r>
        <w:t>IT: TI_GERICHTE 34.2000.2 del 10 agosto 2000</w:t>
      </w:r>
    </w:p>
    <w:p>
      <w:pPr>
        <w:pStyle w:val="Heading2"/>
      </w:pPr>
      <w:r>
        <w:t>Volltext</w:t>
      </w:r>
    </w:p>
    <w:p>
      <w:r>
        <w:t>Incarto n.34.2000.00002</w:t>
      </w:r>
    </w:p>
    <w:p>
      <w:r>
        <w:t>MB/gm</w:t>
      </w:r>
    </w:p>
    <w:p>
      <w:r>
        <w:t>Lugano</w:t>
      </w:r>
    </w:p>
    <w:p>
      <w:r>
        <w:t>10 agosto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vista la petizione del 29 dicembre 1999 interposta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1.__________,</w:t>
      </w:r>
    </w:p>
    <w:p>
      <w:r>
        <w:t>2.__________,</w:t>
      </w:r>
    </w:p>
    <w:p>
      <w:r>
        <w:t>in materia di previdenza professionale</w:t>
      </w:r>
    </w:p>
    <w:p>
      <w:r>
        <w:t>letti ed esaminati gli atti;</w:t>
      </w:r>
    </w:p>
    <w:p>
      <w:r>
        <w:t>vista la risposta 18 febbraio 2000 presentata dalle parti convenute;</w:t>
      </w:r>
    </w:p>
    <w:p>
      <w:r>
        <w:t>rilevato che in data 23 giugno 2000 la parte ricorrente, sentite le spiegazioni del Tribunale cantonale delle assicurazioni, ha comunicato di ritirare il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