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34.2000.18 vom 2. Oktober 2000</w:t>
      </w:r>
    </w:p>
    <w:p>
      <w:r>
        <w:t>TI Tribunale d'appello, 2000-10-02, IT</w:t>
      </w:r>
    </w:p>
    <w:p>
      <w:r>
        <w:rPr>
          <w:b/>
        </w:rPr>
        <w:t xml:space="preserve">Quelle: </w:t>
      </w:r>
      <w:r>
        <w:t>https://mcp.opencaselaw.ch/entscheid/ti_gerichte_34.2000.18</w:t>
      </w:r>
    </w:p>
    <w:p>
      <w:r>
        <w:t>FR: TI_GERICHTE 34.2000.18 du 2 octobre 2000</w:t>
      </w:r>
    </w:p>
    <w:p>
      <w:r>
        <w:t>IT: TI_GERICHTE 34.2000.18 del 2 ottobre 2000</w:t>
      </w:r>
    </w:p>
    <w:p>
      <w:pPr>
        <w:pStyle w:val="Heading2"/>
      </w:pPr>
      <w:r>
        <w:t>Volltext</w:t>
      </w:r>
    </w:p>
    <w:p>
      <w:r>
        <w:t>Incarto n.34.2000.00018</w:t>
      </w:r>
    </w:p>
    <w:p>
      <w:r>
        <w:t>mb/gm</w:t>
      </w:r>
    </w:p>
    <w:p>
      <w:r>
        <w:t>Lugano</w:t>
      </w:r>
    </w:p>
    <w:p>
      <w:r>
        <w:t>2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del 12 maggio 2000 interposta dalla</w:t>
      </w:r>
    </w:p>
    <w:p>
      <w:r>
        <w:t>Fondaz. Istituto Collettore LPP,6900 Lugano,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4 luglio 2000 con la quale il Tribunale ha assegnato alla parte convenuta un ultimo termine perentorio per presentare la risposta (III);</w:t>
      </w:r>
    </w:p>
    <w:p>
      <w:r>
        <w:t>vista la lettera 25 settembre 2000 della parte attrice che comunica il ritiro della petizione, in seguito all'apertura di fallimento relativa alla __________ (IV);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