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33.2025.25</w:t>
      </w:r>
    </w:p>
    <w:p>
      <w:r>
        <w:t>TI Tribunale d'appello, IT</w:t>
      </w:r>
    </w:p>
    <w:p>
      <w:r>
        <w:rPr>
          <w:b/>
        </w:rPr>
        <w:t xml:space="preserve">Quelle: </w:t>
      </w:r>
      <w:r>
        <w:t>https://mcp.opencaselaw.ch/entscheid/ti_gerichte_33.2025.25</w:t>
      </w:r>
    </w:p>
    <w:p>
      <w:pPr>
        <w:pStyle w:val="Heading2"/>
      </w:pPr>
      <w:r>
        <w:t>Volltext</w:t>
      </w:r>
    </w:p>
    <w:p>
      <w:r>
        <w:t>Raccomandata</w:t>
      </w:r>
    </w:p>
    <w:p>
      <w:r>
        <w:t>Incarto n.33.2025.25</w:t>
      </w:r>
    </w:p>
    <w:p>
      <w:r>
        <w:t>CS/IR/sc</w:t>
      </w:r>
    </w:p>
    <w:p>
      <w:r>
        <w:t>Lugano</w:t>
      </w:r>
    </w:p>
    <w:p>
      <w:r>
        <w:t>26 settembre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22 luglio 2025 di</w:t>
      </w:r>
    </w:p>
    <w:p>
      <w:r>
        <w:t>RI 1</w:t>
      </w:r>
    </w:p>
    <w:p>
      <w:r>
        <w:t>contro</w:t>
      </w:r>
    </w:p>
    <w:p>
      <w:r>
        <w:t>la decisione su opposizione del 17 giugno 2025 emanata da</w:t>
      </w:r>
    </w:p>
    <w:p>
      <w:r>
        <w:t>Cassa cantonale di compensazione - Servizio prestazioni complementari,6501 Bellinzona</w:t>
      </w:r>
    </w:p>
    <w:p>
      <w:r>
        <w:t>in materia di prestazioni complementari</w:t>
      </w:r>
    </w:p>
    <w:p>
      <w:r>
        <w:t>ritenutoin fatto</w:t>
      </w:r>
    </w:p>
    <w:p>
      <w:r>
        <w:t>consideratoin diritto</w:t>
      </w:r>
    </w:p>
    <w:p>
      <w:r>
        <w:t>in ordine</w:t>
      </w:r>
    </w:p>
    <w:p>
      <w:r>
        <w:t>nel merito</w:t>
      </w:r>
    </w:p>
    <w:p>
      <w:r>
        <w:t>"b. i proventi della sostanza mobile e immobile;</w:t>
      </w:r>
    </w:p>
    <w:p>
      <w:r>
        <w:t>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w:t>
      </w:r>
    </w:p>
    <w:p>
      <w:r>
        <w:t>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w:t>
      </w:r>
    </w:p>
    <w:p>
      <w:r>
        <w:t>Questi principi si applicano anche quando delle prestazioni sono state accordate senza una decisione formale, ma con una decisione informale presa nellambito della procedura semplificata di cui allart. 51 cpv. 1 LPGA (STF 8C_82/2020 del 12 marzo 2021 consid. 3.2. = SVR 2021 UV n. 30; STF 8C_434/2011 dell8 dicembre 2011 consid. 3; STF 8C_719/2008 del 1° aprile 2009 consid. 3.1.; STF C 128/06 del 10 maggio 2007; DTF 129 V 110 consid. 1.1).</w:t>
      </w:r>
    </w:p>
    <w:p>
      <w:r>
        <w:t>Perdeterminare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pag. 389 con riferimenti), tenuto conto del fatto che un cambiamento di prassi o di giurisprudenza non giustifica di regola una riconsiderazione (DTF 147 V 167; DTF 117 V 8 consid. 2c pag. 17; 115 V 308 consid. 4a/cc pag. 314).</w:t>
      </w:r>
    </w:p>
    <w:p>
      <w:r>
        <w:t>Per motivi legati alla sicurezza giuridica e per evitare che la riconsiderazione diventi uno strumento che consenta di riesaminare liberamente i presupposti del diritto a prestazioni di lunga durata, l'irregolarità deve essere manifesta (zweifellos unrichtig;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9C_308/2018 del 17 agosto 2018, consid. 2.2; sentenza 8C_113/2012 del 21 dicembre 2012, consid. 5.1; sentenza 9C_439/2007 del 28 febbraio 2008 consid. 3.1 con riferimenti; DTF 138 V 324).</w:t>
      </w:r>
    </w:p>
    <w:p>
      <w:r>
        <w:t>Diversa la situazione invece nellipotesi in cui le prestazioni siano state attribuite in assenza di valida decisione. LAlta Corte (STF 9C_684/2023 del 20 giugno 2024, consid. 5.1.2., pubblicata in SVR 2025 IV n. 3) ha ritenuto come non si debba procedere ad una riconsiderazione o revisione pour exiger la restitution de prestations qui ne reposent sur aucun fondement juridique  ou  qui nont fait lobjet d'aucune décision entrée en force (cf. arrêt 9C_564/2009 du 22 janvier 2010 consid. 6.4 et les références in: SVR 2010 IV n° 45 p. 141).</w:t>
      </w:r>
    </w:p>
    <w:p>
      <w:r>
        <w:t>2.9.  Nel caso di specie dalle tavole processuali emerge che il ricorrente, al beneficio delle prestazioni complementari ad una rendita dinvalidità dal 1° maggio 1999, il 2 luglio 2004 ha acquistato un immobile in Italia per un importo di euro 61'975 (doc. F). Va qui evidenziato come detto acquisto non sia stato sin qui oggetto di puntuale verifica da parte della Cassa. Va in effetti evidenziato come il cambio euro/franco dellepoca dellacquisto era di 1,5208 (Fonte; Banca dItalia, www.bancaditalia.it, si veda anche Banca Centrale Europea www.eob.europa.ev) e, dunque, limmobile è stato pagato lequivalente di CHF 94'251,08, senza considerare le spese che latto pone a carico dellacquirente. Va osservato come, dagli atti prodotti dallamministrazione, emerga che, in occasione della prima revisione del diritto alle PC (doc. 6-2/50), RI 1 abbia dichiarato, e comprovato, di disporre di (soli) CHF 53'246 (doc. 6-5/50) su un conto presso __________, importo insufficiente a pagare interamente il prezzo dellimmobile siccome equivalente a poco più del 50% di prezzo e spese. Dal doc. F (rogito solo parzialmente prodotto) emerge come il venditore attesti ricevuta dellimporto complessivo prima dellatto. Non solo. Gli atti trasmessi al Tribunale cantonale delle assicurazioni indicano come, successivamente allacquisto, il conto bancario presso __________ era ancora in essere (non estinto quindi) e mostrava ancora un attivo non indifferente (CHF 18'028 al 31.12.2008, doc. 14-1/11 e 14-11/11; 21'306 al 1. gennaio 2019, doc. 49-7/12).</w:t>
      </w:r>
    </w:p>
    <w:p>
      <w:r>
        <w:t>Questa giurisprudenza è stata confermata nella DTF 140 IV 206 che ha ritenuto come la violazione dell'obbligo legale di comunicare ogni modifica importante di circostanze suscettibili d'influenzare il diritto alle prestazioni è punito, in caso di atto per omissione, con le disposizioni penali speciali relative alle leggi sulle assicurazioni sociali (consid. 6.3.2.2). Il fatto di non dare seguito a una lettera di informazioni, ricordando l'obbligo di comunicare ogni cambiamento di circostanze, non costituisce un inganno per commissione e pertanto una truffa ai sensi dell'art. 146 cpv. 1 CP (consid. 6.4). Con sentenza del 13 dicembre 2013 il TF (9C_232/2013) ha indicato come:</w:t>
      </w:r>
    </w:p>
    <w:p>
      <w:r>
        <w:t>"lagire dellautore è omissivo unicamente se non è accompagnato da altri comportamenti che tendono oggettivamente a confermare che nulla è cambiato nella situazione del beneficiario delle prestazioni  (se) lautore agisce (attivamente) per atti concludenti e il reato di truffa (art. 146 CP), in presenza di un inganno astuto, può dunque essere ipotizzato. Si tratta in particolare delle situazioni in cui il beneficiario delle prestazioni, a fronte di una richiesta specifica dinformazioni dellistituto assicurativo relativa a (nuovi) elementi, spesso riferiti alla sua situazione finanziaria o personale con incidenza sul diritto a prestazioni assicurative sociali, conferma una situazione precedente senza indicare la mutazione intervenuta, inducendo così il collaboratore dellassicuratore sociale e riconoscergli, o confermargli, una indebita (o parzialmente indebita) prestazione.</w:t>
      </w:r>
    </w:p>
    <w:p>
      <w:r>
        <w:t>Nel caso di specie il ricorrente - contrariamente a quanto esige la giurisprudenza federale - non ha formulato un'esplicita richiesta di indire una pubblica udienza, né una richiesta di audizione al fine di esporre il proprio punto di vista sulle risultanze probatorie, ma ha semplicemente indicato quali prove audizione di RI 1 (doc. I, pag. 9). Linsorgente,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STF_789/2023 dell8 gennaio 2025 consid. 4.2.3.; STF 8C_312/2022 del 26 ottobre 2022 consid. 3.2.; STF 9C_ 657/2009 del 3 maggio 2010 consid. 9.2.).</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Nella presente evenienza, ritenuto che i documenti già presenti allinserto consentono al TCA di emanare il proprio giudizio, questo Tribunale ritiene che laudizione del ricorrente non metterebbe in luce nuovi elementi concreti ai fini della risoluzione della vertenza.Si prescinde, pertanto, dal sentire linsorgente (cfr. STF 8C_312/2022 del 26 ottobre 2022 consid. 5.3.).</w:t>
      </w:r>
    </w:p>
    <w:p>
      <w:r>
        <w:t>Per questi motivi</w:t>
      </w:r>
    </w:p>
    <w:p>
      <w:r>
        <w:t>dichiara e pronuncia</w:t>
      </w:r>
    </w:p>
    <w:p>
      <w:r>
        <w:t>Di conseguenza: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