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33.2024.12 vom 23. Dezember 2024</w:t>
      </w:r>
    </w:p>
    <w:p>
      <w:r>
        <w:t>TI Tribunale d'appello, 2024-12-23, IT</w:t>
      </w:r>
    </w:p>
    <w:p>
      <w:r>
        <w:rPr>
          <w:b/>
        </w:rPr>
        <w:t xml:space="preserve">Quelle: </w:t>
      </w:r>
      <w:r>
        <w:t>https://mcp.opencaselaw.ch/entscheid/ti_gerichte_33.2024.12</w:t>
      </w:r>
    </w:p>
    <w:p>
      <w:r>
        <w:t>FR: TI_GERICHTE 33.2024.12 du 23 décembre 2024</w:t>
      </w:r>
    </w:p>
    <w:p>
      <w:r>
        <w:t>IT: TI_GERICHTE 33.2024.12 del 23 dicembre 2024</w:t>
      </w:r>
    </w:p>
    <w:p>
      <w:pPr>
        <w:pStyle w:val="Heading2"/>
      </w:pPr>
      <w:r>
        <w:t>Erwägungen</w:t>
      </w:r>
    </w:p>
    <w:p>
      <w:r>
        <w:rPr>
          <w:b/>
        </w:rPr>
        <w:t>E. 1</w:t>
      </w:r>
    </w:p>
    <w:p>
      <w:r>
        <w:t>LPGA stabilisce che le prestazioni indebitamente riscosse devono essere restituite. La restituzione non deve essere chiesta se l'interessato era in buona fede e verrebbe a trovarsi in gravi difficoltà. In base all’art.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 4 cpv. 4 OPGA). Giusta l'art. 4 cpv. 5 OPGA, sul condono è pronunciata una decisione. Affinché sia concesso il condono, è dunque necessario che siano cumulativamente adempiuti i seguenti presupposti (SVR 1996 AHV Nr. 102; SVR 1995 AHV Nr. 61 consid. 4; Kieser , ATSG-Kommentar, 4a ed. 2020, pag. 523 n. 59 ad art. 25): · Da un lato la decisione che impone la restituzione deve essere correttamente cresciuta in giudicato e deve conseguentemente esplicare i suoi effetti; · L'interessato, o il suo rappresentante legale, ha percepito la prestazione indebita in buona fede, e · la restituzione lo metterebbe in gravi difficoltà economiche, nel senso che costituirebbe un onere troppo grave (DTF 122 V 140 consid. 3b). 2.3.  In concreto la Cassa parte dall’assunto secondo cui la decisione di restituzione sia riferita ad un importo di CHF 7'008 (doc. 96 – 1: “ Domanda di condono del 17 dicembre 2023 dell’importo di fr. 7’008” ) e trovi il suo fondamento nella decisione 3 marzo 2020 (doc. 96 – 2: “ l’emissione della decisione di prestazione complementare del 3 marzo 2020 attraverso la quale le è stata comunicata la riduzione del diritto alle PC dal 1 marzo 2018” ). Prima di analizzare quindi se, in concreto, sia data una buona fede dell’assicurato (p er quanto concerne la nozione di buona fede ci si riferisca alla giurisprudenza seguente: STF 8C_617/ 2009 del 5 novembre 2009; STF 8C_865/2008 del 27 gennaio 2009; STF 8C_383/2007 del 15 luglio 2008; DTF 133 V 579 consid. 4.1; DTF 138 V 218 consid. 4; STF 8C_264/2024 del 14 novembre 2024, consid. 4.2; STF 8C_640/2023 del 19 aprile 2024, consid. 5.2; STF 8C_441/2023 del 21 dicembre 2023, consid. 3.2.2; STF 9C_532/ 2022 del 27 luglio 2023, consid. 2.2; STF 9C_585/2022 del 5 giugno 2023, consid. 5.1; STF 8C_34/2022 del 4 agosto 2022, consid. 4.2; STF 9C_267/ 2021 del 1° febbraio 2022, consid. 5.1; STF 9C_455/2021 del 1° dicembre 2021, consid. 4.2.2; STF 9C_318/2021 del 21 settembre 2021, consid. 3.1 pubblicata in SVR 2022 EL Nr. 7; STF 8C_353/ 2018 del 26 luglio 2018, consid. 3.1 in SVR 2019 IV Nr. 6 e, per gli aspetti della buona fede intesa come mancata consapevolezza dell’illiceità si vedano le DTF 122 V 221 consid. 3; STF 8C_264/2024 del 14 novembre 2024, consid. 4.2; STF 9C_267/2021 del 1° febbraio 2022, consid. 5.1; STF 8C_391/ 2008 del 14 luglio 2008; SVR 2007 EL Nr. 8 consid. 2.2 ) occorre esaminare se la decisione su cui si fonda la pretesa della Cassa sia quella del 3 marzo 2020 e non quella del 16 aprile 2020, e sia cresciuta in giudicato. 2.3.1. In concreto occorre anzitutto esaminare la decisione del 3 marzo 2023 (doc. 59), provvedimento emanato “ a seguito della presa di conoscenza del decesso dell’ex coniuge e della conseguente fine del versamento degli alimenti, inoltre è stato considerato l’aumento della … rendita estera” . La decisione, come evidenziato in precedenza, ha condotto la Cassa a stabilire in CHF 7'008 l’importo della restituzione delle PC versate in eccesso. L’importo è stato determinato sulla base dei calcoli eseguiti dall’amministrazione che si ritrovano nei doc. 61 – 68. A questa decisione l’assicurato ha obiettato, il 18 marzo successivo (doc. 69), quindi nel termine di 30 giorni per la formulazione di una opposizione, segnalando (da persona non cognita in materia qual egli è) “ alcune divergenze per le quali desidero ricevere delle delucidazioni” . Egli ha in particolare contestato l’importo delle spese accessorie alla locazione ed aspetti particolari riferiti alla convivenza con la signora __________, indicando implicitamente di essersi accollato le spese di locazione per ragioni riconducibili alle difficoltà della convivente. In conclusione del suo scritto egli ha indicato la sua disponibilità a fornire eventuali ulteriori informazioni. Ora, tale scritto, non reca nell’intestazione il termine “ opposizione ” ma, nella sostanza, costituisce una garbata espressione di dissenso dalla decisione 3 marzo 2024. Con tutta verosimiglianza lo scritto (redatto a macchina) è stato allestito con il sussidio di terze persone (assistente sociale di __________). La Cassa cantonale di compensazione AVS AI IPG non ha interpellato il qui ricorrente in merito alla sua volontà di contestare la decisione. Ha materialmente recepito il suo scritto quale opposizione. 2.3.2. Si rammenta qui che l’opposizione deve contenere una conclusione e una motivazione (art. 10 cpv. 1 OPGA), deve recare la firma personale dell’opponente e, se non soddisfa questi requisiti o se manca la firma, l’assicuratore assegna un congruo termine per rimediarvi, con la comminatoria che in caso contrario non si entrerà nel merito (art. 10 cpv. 5 OPGA). Se le condizioni di ricevibilità non sono adempiute, la procedura di opposizione termina con una decisione d’irricevibilità (DTF 142 V 152 consid. 2.2 e i riferimenti). Conformemente alla giurisprudenza relativa all’art. 61 lett. b seconda frase LPGA, concernente la procedura giudiziaria di prima istanza, occorre assegnare un termine che permetta all’interessato di rettificare il proprio ricorso, non soltanto se le conclusioni o i motivi peccano di chiarezza ma, in modo generale, laddove un ricorso non rispetti le esigenze legali. Si tratta qui di una prescrizione formale che obbliga il giudice di prima istanza - eccezion fatta nei casi di manifesto abuso di diritto - a fissare un termine per correggere i vizi dell’allegato di ricorso. Come recentemente evocato nella STCA 35.2023.29 del 29 marzo 2023 (consid. 2.4), tenuto conto del medesimo tenore letterale tra l’art. 61 lett. b seconda frase LPGA e l’art. 10 cpv. 5 OPGA, questi principi si applicano anche alla procedura di opposizione (DTF 142 V 152 consid. 2.3 e i riferimenti). Le esigenze poste alla forma e al contenuto di un’opposizione non sono elevate. Basta che la volontà del destinatario di una decisione di non accettare quest’ultima emerga chiaramente dal suo allegato o dalle sue dichiarazioni (STF 8C_775/2016 del 1° febbraio 2017 consid. 2.4 e riferimenti). Nel caso in cui difetti una tale volontà chiaramente espressa di contestare la decisione, si ritiene che non sia stata avviata alcuna procedura di opposizione e non vi è quindi l’obbligo di fissare un termine di grazia (STF 8C_475/2007 del 23 aprile 2008 consid. 4.2; DTF 134 V 162 consid. 5.1; 116 V 353 consid. 2b e i riferimenti). Come rammenta la STCA 35.2023.29 consid. 2.5, nella STF  8C_337/2013 del 19 dicembre 2013 consid. 4 il Tribunale federale ha precisato che l’opposizione è un rimedio di diritto che permette al destinatario di una decisione di ottenere il riesame da parte dell’autorità prima che un giudice non sia adito. L’opposizione assicura la partecipazione dell’assicurato nel processo decisionale. In tale contesto l’opposizione riveste un vero interesse solo se l’opponente deve esporre i motivi del suo disaccordo con la decisione che lo concerne in modo implicito o esplicito. Nella STF 8C_817/2017 del 31 agosto 2018, il Tribunale federale, relativamente all’art. 10 cpv. 5 OPGA, ha sviluppato le seguenti considerazioni rilevanti per il caso di specie: "</w:t>
      </w:r>
    </w:p>
    <w:p>
      <w:r>
        <w:rPr>
          <w:b/>
        </w:rPr>
        <w:t>E. 4</w:t>
      </w:r>
    </w:p>
    <w:p>
      <w:r>
        <w:t>Dans un arrêt récent (9C_191/2016 du 18 mai 2016),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Le Tribunal fédéral a ensuite souligné que l'existence d'un éventuel abus de droit peut être admis plus facilement lorsque l'assuré est représenté par un mandataire professionnel, dès lors que celui-ci est censé connaître les exigences formelles d'un acte de recours ou d'une opposition et qu'il lui est également connu qu'un délai légal n'est pas prolongeable.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 Si vedano in merito anche le STF 8C_245/2022 del 7 settembre 2022 consid. 3.3; 8C_289/2022 del 5 agosto 2022 consid. 4; 8C_660/2021 del 28 giugno 2022 consid. 3.3; 9C_191/ 2016 del 18 maggio 2016, nonché le sentenze cantonali STCA 35.2022.74 del 24 gennaio 2023 consid. 2.5. e la STCA 35.2023.29 del 29 marzo 2023. Va da ultimo rammentato come, giusta l’art. 40 cpv. 1 LPGA, il termine legale non può essere prorogato. Il cpv. 2 della medesima norma prevede che se l’assicuratore assegna un termine per una determinata azione, commina contemporaneamente le conseguenze in caso d’inosservanza. Sono escluse conseguenze diverse da quelle comminate. Ai sensi del cpv. 3, il termine stabilito dall’assicuratore può essere prorogato, purché sussistano motivi sufficienti, se la parte ne fa richiesta prima della scadenza. 2.3.3.  Come indicato in entrata del punto 2.3.1. in concreto l’amministrazione ha recepito lo scritto 18 marzo 2020 apparentemente quale valida opposizione, non ha ritenuto invece di meglio accertare la volontà dell’assicurato, le sue motivazioni e le sue conclusioni (comunque implicite). La Cassa ha infatti scritto al signor RI 1 la lettera 31 marzo 2020 (doc. 70) e lo ha invitato, al fine di una rivalutazione del merito, a volere produrre determinata documentazione riferita alle spese accessorie. Per quanto riguarda invece la convivenza la Cassa ha invece subito ribadito che, secondo le direttive, le spese di locazione vanno divise in parti uguali (con tanto di citazione della Marginale 3231.03 delle DPC). L’assicurato ha prodotto quanto richiesto dall’amministrazione (doc. 71) il 6 aprile 2020 e la Cassa ha emesso una nuova “ Decisione di prestazione complementare AVS/AI ” in data 16 aprile 2020, considerando unicamente il computo delle spese accessorie relative all’appartamento, senza esprimersi formalmente sul tema della condivisione della locazione. La decisione è formale e non è invece una decisione resa su opposizione. In favore del qui ricorrente è stato riconosciuto un credito di CHF 691 (differenza con quanto ritenuto nella decisione del 3 marzo 2020) e questo importo è stato posto in deduzione del credito vantato dalla Cassa nella decisione 3 marzo (CHF 7'008) per una nuova determinazione del credito di CHF 6'127. 2.3.4.  La nuova decisione formale del 16 aprile 2020 riformula, per tutti i periodi d’interesse, i calcoli del diritto alle PC senza conteggiare, per i periodi successivi alla morte della ex moglie del ricorrente, gli alimenti dovuti, e ritenendo le spese accessorie della locazione (doc. 73, 74, 75, 76, 77 78, 79, 80, 81 e 82). A fronte di questa decisione il signor RI 1, in data 11 maggio 2020 (doc. 83), ha reagito lamentando la modifica delle PC che gli sono state riconosciute (“ Dal mese di sett. ’19 la mia rendita AVS è stata adattata a CHF 1'724 … la coinquilina essendo deceduta il __________.8.20” ), egli indica in effetti di dovere affrontare da solo tutte le spese (della locazione, della corrente elettrica, delle assicurazioni, telefono, spese comunali ecc.). Evidenzia in particolare spese di elettricità per CHF 250 mensili. Il signor RI 1 si lamenta della diminuzione della sua rendita PC “ Dal 1.4.20 … senza motivi conosciuti da me … di 268 passando a CHF 1’456” , nella sua reazione alla nuova decisione intimatagli in data 16 aprile 2020 l’assicurato chiede “ adesso una risposta motivando questa differenza, visto che tramite l’agenzia comunale abbiamo provato senza successo d’avere una risposta” . RI 1 ha tentato di chiamare la Cassa cantonale di compensazione AVS AI IPG, senza ottenere risposte. Nel suo scritto 11 maggio 2020 (doc. 83) egli lamenta poi di non conoscere l’importo del minimo vitale in Ticino indicando infatti di non riuscire a vivere con le rendite e con un saldo mensile inferiore ai CHF 400. La Cassa cantonale di compensazione non ha recepito la contestazione quale opposizione, se del caso da far completare dall’anziano ricorrente. Pur considerando lo scritto quale contestazione e non approvazione della decisione, l’amministrazione ha inquadrato la lamentela come una “ richiesta di riesame” apparentemente riferito alla decisione 3 marzo 2020, cui ha dato un semplice ed apodittico esito rilevando come “ da un confronto dei dati considerati nel calcolo e quelli presentati nella richiesta di riesame non notiamo nessuna differenza che possa suscitare cambiamenti” . Nelle sue conclusioni l’amministrazione ha confermato il suo calcolo. La decisione sul riesame è assortita dei rimedi di diritto. Il 1. luglio 2020 il ricorrente ha notificato alla Cassa il cambiamento di indirizzo. Gli atti contemplano poi un messaggio di posta elettronica di una funzionaria dell’ufficio contributi al servizio prestazioni della Cassa che informa del ricevimento di una domanda di condono dell’OR (ordine di restituzione) del 3 marzo 2020. Il messaggio (doc. 93) reca la data dell’8 gennaio 2024. La Cassa ha di seguito respinto la domanda di condono del 17 dicembre (doc. 94) con provvedimento del 24 gennaio 2024. 2.4.  In concreto la decisione della Cassa cantonale di compensazione datata 16 aprile 2020 ha sostituito la precedente del 3 marzo 2020 riformulando i calcoli per i medesimi periodi a mano di nuovi valori e con risultato diverso. La medesima ha fatto l’oggetto non di una richiesta di riesame ma di una vera e propria opposizione. L’amministrazione sembra invece avere applicato, in concreto, l’art. 53 LPGA relativo alla revisione e riconsiderazione di decisioni.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In particolare, secondo costante giurisprudenza federale, nuove vanno considerate quelle circostanze che si sono realizzate fino al momento in cui, nel procedimento principale, allegazioni di fatto sarebbero ancora state lecite, ma che tuttavia, nonostante sufficiente attenzione e senza colpa, erano sconosciute all'istante (cfr. STF 9C_677/2014 e 9C_678/2014 del 4 febbraio 2015 consid. 8.2.; STF 8C_756/2012 del 17 luglio 2013 consid. 4.2.; DTF 127 V 353 consid. 5b; DTF 122 V 134 e seg.; STFA C 354/01 del 7 marzo 2003; DLA 1995, p. 64 consid. 2b e riferimenti).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 STF 8C_756/2012 del 17 luglio 2013 consid. 4.2) .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w:t>
      </w:r>
    </w:p>
    <w:p>
      <w:r>
        <w:rPr>
          <w:b/>
        </w:rPr>
        <w:t>E. 5</w:t>
      </w:r>
    </w:p>
    <w:p>
      <w:r>
        <w:t>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2.5. In base al tenore medesimo della norma l’art. 53 cpv. 2 LPGA, qui apparentemente considerato dalla Cassa, è applicabile unicamente se la decisione da riesaminare è cresciuta in giudicato, qualora ciò non fosse la decisione sarebbe passibile di opposizione, rispettivamente di impugnativa al Tribunale. In concreto la decisione 3 marzo 2020, come indicato in precedenza, ha fatto oggetto di una opposizione da parte dell’assicurato. Egli ha contestato il calcolo, ha fornito elementi probatori, la Cassa gli ha riconosciuto il diritto ad una rendita PC più estesa rispetto a quella calcolata in precedenza ed ha emesso una nuova decisione, sostitutiva di quella del 3 marzo 2020, questo in data 16 aprile 2020. Lo scritto 11 maggio 2020 contesta genericamente i calcoli della Cassa, i valori ritenuti alla base della determinazione del diritto alle PC. Vero è che il signor RI 1 produce, in allegato alla sua lettera 11 maggio 2020, un estratto bancario (accredito delle PC) anteriore alla decisione 16 aprile 2020, ma la reazione alla decisione 16 aprile 2020 è chiara. RI 1 reagisce, con il sussidio del servizio dell’assistente sociale di __________, il 20 aprile 2020 (una mail è indirizzato alla Cassa, citata nel doc. 83 pag. 2 anche se non ve n’è traccia agli atti), l’assicurato chiama poi la Cassa l’8 maggio successivo, scrive la sua contestazione l’11 maggio 2020. Il tenore della contestazione, riportato in precedenza, è certamente di opposizione ai calcoli dell’amministrazione, di lamentela in merito al fatto di dovere vivere con meno di CHF 400 mensili. Ora questo manoscritto, proveniente da una persona in età, non addentro alle questioni assicurative, non italofono (come rilevabile dai suoi manoscritti), appariva sin da subito quale opposizione alla ultima decisione resa (il 16 aprile 2020) dalla Cassa, e non, palesemente, quale domanda di riesame della decisione precedente (3 marzo 2020). L’amministrazione, in luogo e vece di ritenerlo quale domanda di riesame della decisione (senza specificare quale), avrebbe dovuto porsi la domanda a sapere quale fosse l’oggetto della contestazione dell’assicurato, interpellarlo come all’obbligo fissato dall’art. 10 cpv. 5 OPGA. Come evidenziato in precedenza, infatti, la decisione 16 aprile 2020 ha sostituito quella del precedente 3 marzo, che è stata implicitamente annullata dal nuovo provvedimento che ha ridotto l’importo chiesto in restituzione all’assicurato. 2.6. Da quanto precede risulta quindi che la decisione 16 aprile 2020, scaturita dalla contestazione della decisione del precedente 3 marzo 2020 e che l’ha sostituita, non è cresciuta in giudicato. La contestazione dell’11 maggio 2020 non ha fatto l’oggetto di una decisione su opposizione con l’esame delle specifiche contestazioni, con la verifica puntuale del calcolo, con il controllo della correttezza della suddivisione della pigione tra l’assicurato e l’allora convivente (considerando la durata effettiva della convivenza), valutando poi compiutamente la data in cui il ricorrente è stato informato della morte della sua ex moglie e della cessazione dell’obbligo di versamento degli alimenti. La decisione 16 aprile 2020 è, lo si ribadisce, stata contestata in maniera sufficientemente chiara, RI 1 ha chiesto “ adesso una risposta motivando questa differenza” ritenuti i tentativi posti in atto con l’Agenzia di __________ privi di risposte. Mancando il primo presupposto per poter esaminare la domanda di condono, ossia la crescita in giudicato della decisione di restituzione fondata sul diritto alle PC determinato il 16 aprile 2020, la decisione qui impugnata va annullata mentre il ricorso deve essere, conseguentemente, accolto. La Cassa cantonale di compensazione dovrà quindi evadere l’opposizione dell’11 maggio 2020, valutando compiutamente tutta la situazione economica del ricorrente come indicato. La decisione potrà fare oggetto di un ricorso al Tribunale cantonale delle assicurazioni e, quando divenisse definitivo un obbligo di restituzione, l’amministrazione potrà evadere la domanda di condono formulata dall’assicurato. 2.7.  Il ricorso è, di conseguenza, accolto. La decisione annullata e gli atti rinviati alla Cassa per gli accertamenti necessari cui seguirà l’emanazione di una decisione su opposizione, ritenuta l’opposizione dell’11 maggio 2020 alla decisione formale del precedente 16 aprile 2020. Non sono prelevate tasse e spese ed al ricorrente vincente in causa non sono attribuite ripetibili non richieste e non dovute in assenza di patrocinio. Si rammenta come l a procedura non è soggetta a spese poiché la LPC non le prevede (art. 61 lett. f bis LPGA). Sul tema cfr. anche STF 9C_369/2022 del 19 settembre 2022; STF 9C_368/2021 del 2 giugno 2022; STF 9C_13/2022 del 16 febbraio 2022; STF 9C_394/2021 del 3 gennaio 2022; STF 8C_265/2021 del 21 luglio 2021 (sul tema: Ares Bernasconi , Actualités du TF, 8C_265/2021 du 21 juillet 2021 - frais judiciaires pour les tribunaux cantonaux des assurances selon la révision de la LPGA du 21 juin 2019, in SZS/RSAS 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