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33.2023.23 vom 27. August 2019</w:t>
      </w:r>
    </w:p>
    <w:p>
      <w:r>
        <w:t>TI Tribunale d'appello, 2019-08-27, IT</w:t>
      </w:r>
    </w:p>
    <w:p>
      <w:r>
        <w:rPr>
          <w:b/>
        </w:rPr>
        <w:t xml:space="preserve">Quelle: </w:t>
      </w:r>
      <w:r>
        <w:t>https://mcp.opencaselaw.ch/entscheid/ti_gerichte_33.2023.23_d20190827</w:t>
      </w:r>
    </w:p>
    <w:p>
      <w:r>
        <w:t>FR: TI_GERICHTE 33.2023.23 du 27 août 2019</w:t>
      </w:r>
    </w:p>
    <w:p>
      <w:r>
        <w:t>IT: TI_GERICHTE 33.2023.23 del 27 agosto 2019</w:t>
      </w:r>
    </w:p>
    <w:p>
      <w:pPr>
        <w:pStyle w:val="Heading2"/>
      </w:pPr>
      <w:r>
        <w:t>Regeste</w:t>
      </w:r>
    </w:p>
    <w:p>
      <w:r>
        <w:t>Richiesta di prestazioni complementari respinta. Rinuncia di sostanza. Nessuna comprova del consumo della sostanza</w:t>
      </w:r>
    </w:p>
    <w:p>
      <w:pPr>
        <w:pStyle w:val="Heading2"/>
      </w:pPr>
      <w:r>
        <w:t>Erwägungen</w:t>
      </w:r>
    </w:p>
    <w:p>
      <w:r>
        <w:rPr>
          <w:b/>
        </w:rPr>
        <w:t>E. 22</w:t>
      </w:r>
    </w:p>
    <w:p>
      <w:r>
        <w:t>marzo 2019 sono state adottate delle importanti modifiche della vigente Legge sulle prestazioni complementari (LPC) del 6 ottobre 2006 (Riforma delle PC) , che sono entrate in vigore il 1° gennaio 2021 (RU 2020 585; FF 2016 6705). Si rileva che in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Inoltre, le Disposizioni transitorie della modifica del 20 dicembre 2019 prevedono che ai beneficiari di prestazioni complementari che al momento dell'entrata in vigore della modifica del 22 marzo 2019 (Riforma delle PC) percepivano già una prestazione complementare annua si applica l'art. 10 cpv. 1ter LPC, trascorso il termine di tre anni previsto dalle disposizioni transitorie della modifica del 22 marzo 2019. In concreto, per il diritto alle PC fino al 31 dicembre 2020 fanno stato le norme vigenti fino all'entrata in vigore della Riforma delle PC, mentre le modifiche del 22 marzo 2019 sono applicabili per il diritto alle PC dal 2021 . 2.3.  Per l'art. 4 cpv. 1 lett. a LPC, le persone domiciliate e dimoranti abitualmente in Svizzera hanno diritto alle prestazioni complementari se ricevono una rendita di vecchiaia dell’assicurazione vecchiaia e superstiti (AVS). L'importo della prestazione complementare annua è pari alla quota delle spese riconosciute che eccede i redditi computabili (art. 9 cpv. 1 vLPC). Secondo il nuovo art. 9 cpv. 1 LPC, l'importo della prestazione complementare annua è pari alla quota delle spese riconosciute che eccede i redditi computabili, ma almeno al più elevato dei seguenti importi: a. la riduzione dei premi massima stabilita dal Cantone per le persone che non beneficiano né delle prestazioni complementari né dell'aiuto sociale; b. il 60 per cento dell'importo forfettario per l'assicurazione obbligatoria delle cure medico-sanitarie di cui all'articolo 10 capoverso 3 lettera d. L'art. 11 vLPC enumerava in maniera esaustiva i redditi computabili rispettivamente non computabili. Tra quelli computabili (cpv. 1) v'erano: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g. i proventi e i beni a cui l'assicurato ha rinunciato;". L'art. 11 cpv. 1 nLPC dispone che sono computati come reddito, per ciò che qui interessa: " b. un quindicesimo della sostanza netta, oppure un decimo per i beneficiari di rendite di vecchiaia, per quanto superi 30000 franchi per le persone sole, 50000 franchi per le coppie sposate e 15000 franchi per gli orfani che hanno diritto a una rendita e i figli che danno diritto a una rendita per figli dell'AVS o dell'AI; se il beneficiario delle prestazioni complementari o un'altra persona compresa nel calcolo di queste prestazioni sono proprietari di un immobile che serve quale abitazione ad almeno una di queste persone, soltanto il valore dell'immobile eccedente 112500 franchi è preso in considerazione quale sostanza;". Il nuovo art. 11a LPC disciplina ora la rinuncia a proventi e parti di sostanza e prevede che gli altri redditi, parti di sostanza e diritti legali o contrattuali cui l'avente diritto ha rinunciato senza esservi giuridicamente tenuto e senza aver ricevuto una controprestazione adeguata sono computati come reddito come se la rinuncia non fosse avvenuta (cpv. 2). È altresì computata una rinuncia alla sostanza se, a partire dalla nascita del diritto a una rendita per superstiti dell'AVS o a una rendita dell'AI, all'anno è stato speso, senza un valido motivo, oltre il 10% della sostanza. Se la sostanza non supera 100000 franchi, il limite è di 10000 franchi all'anno. Il Consiglio federale disciplina i dettagli e definisce in particolare i validi motivi (cpv. 3). In virtù delle Disposizioni Transitorie della modifica del 22 marzo 2019, l'art. 11a cpv. 3 nLPC si applica soltanto alla sostanza spesa dopo l'entrata in vigore della presente modifica e quindi non è applicabile al caso concreto. 2.4.  In concreto la Cassa di compensazione, ricevuta la domanda di prestazioni del 2 marzo 2009, ha posto all’insorgente alcune domande, segnatamente in merito alla circostanza che nella tassazione 2001/2002 figuravano beni patrimoniali pari a fr. 4'245'128 mentre nella successiva tassazione 2003 risultavano solo fr. 115'128 (pag. 3 – 2/2). L’interessato ha risposto sostenendo che i beni indicati nella tassazione 2001/2002 erano stati sequestrati nell’ambito delle procedure penali aperte nei suoi confronti e per questo non erano più stati indicati nella successiva tassazione 2003 (pag. 6 – 1/4; cfr. anche pag. 9 – 1/2). Dagli ulteriori accertamenti effettuati dall’amministrazione è emerso che l’importo complessivo di fr. 4'130'000.00 era composto da fr. 1'300'000.00 di numerario per un inventario di società site in __________ e __________, da fr. 2'350'000.00 di capitali (__________) e da fr. 480'000 di azioni di società varie (decisione su opposizione, punto 2). L’amministrazione ha poi stabilito sulla base di un decreto di dissequestro del 31 maggio 2001 dell’allora Procuratore Pubblico __________, che l’autorità fiscale aveva formulato nei confronti del ricorrente richieste di garanzia e ordini di sequestro per complessivi fr. 2'878'500.00, mentre in uno scritto del 15 dicembre 2022 l’Ufficio esazione e condoni ha affermato che, salvo errori e/o omissioni, il ricavato delle procedure aperte nei confronti dell’interessato ammontavano complessivamente a fr. 2'006'561.26 (cfr. pag. 53 – 2/2). Ottenuta conferma, tramite email del 14 febbraio 2023 dell’Ufficio esazione e condoni che la sostanza indicata dall’opponente nella propria dichiarazione fiscale per il biennio 2001/2002 ammontava a fr. 4'130'000.00 (cfr. decisione su opposizione, punto 2), l’amministrazione ha concluso che l’insorgente nel 2001 ha rinunciato a complessivi fr. 1'251'500.00 (4'130'000.00 – 2'878'500.00). Inoltre, la Cassa ha considerato quale rinuncia anche l’importo di fr. 850'000 conseguito nel 2005 per la vendita del pacchetto azionario detenuto presso la __________, poiché l’insorgente non è stato in grado di comprovarne il consumo. Ritenuto un ammortamento annuo di fr. 10'000 dal 1° gennaio 2003, la Cassa ha fissato, al 1° gennaio 2009, in fr. 2'031'500 l’ammontare della sostanza a cui l’interessato ha rinunciato (per un’eccedenza complessiva a suo favore di fr. 268'916), ridottosi a fr. 1'931’500 dal 1° gennaio 2019 (per un’eccedenza complessiva a suo favore di fr. 179'183) e a fr. 1'921'500 nel 2020 ed ha respinto il diritto alle prestazioni complementari. L’amministrazione ha poi ricordato che dal 1° gennaio 2021 il nuovo art. 9a cpv. 1 lett. a LPC prevede, tra l’altro, che hanno diritto a prestazioni solo le persone sole la cui sostanza è inferiore a fr. 100'000 ed ha respinto la richiesta per il periodo successivo anche per questo motivo. La Cassa, nel calcolo del diritto alle prestazioni complementari ha pure preso in considerazione i redditi e la sostanza evinti dalle tassazioni emesse nel corso degli anni. Il ricorrente in sede di ricorso sostiene che l’importo di fr. 1'300'000.00 non consiste in numerario ma nel presunto valore di apparecchi di __________ detenuti da società in __________ e __________. Tuttavia l’attività non è mai iniziata, le società sono fallite e l’interessato ha perso tutto l’investimento. Da cui l’assenza dell’importo dalla tassazione 2003. Circa la vendita delle azioni, l’insorgente ha prodotto un contratto di compravendita per comprovare che l’importo incassato è stato consumato interamente per il saldo dei debiti ipotecari e fiscali del venditore. Egli afferma infine di non aver conseguito più alcun reddito a partire dal suo pensionamento a 65 anni. 2.5.  Va evidenziato come la LPC stabilisca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397 consid. 2; DTF 115 V 353 consid. 5c; Pratique VSI 1997 pag. 264 consid. 2; Pratique VSI 1994 pag. 225 consid. 3a). In questi casi, la giurisprudenza (RDAT I 1994 pag. 189 consid. 3a) considera che vi è una rinuncia (di sostanza e/o di reddito) ai sensi dell'art. 11 cpv. 1 lett. g vLPC (art. 3c cpv. 1 lett. g vLPC). Lo scopo dell'art. 11 cpv. 1 lett. g vLPC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146 V 306 = SVR 2020 EL Nr. 10; DTF 115 V 353 consid. 5c; Pratique VSI 1995 pag. 173 consid. 2b; Carigiet/Koch , Ergänzungs-leistungen zur AHV/IV, 2a ed. 2009, pag. 173).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La Massima Istanza ha pure stabilito che, per la valutazione della rinuncia, valgono le disposizioni legali in vigore nell'istante in cui è fatta valere la richiesta di PC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Quale rinuncia di reddito ai sensi dell'art. 11 cpv. 1 lett. g vLPC,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2020).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pag. 173).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DTF 146 V 306, pubblicata in SVR 2020 EL Nr. 10, dove il Tribunale federale ha riconosciuto che questo principio è messo sempre più frequentemente in discussione e che lo è pure nella riforma della LPC la cui entrata in vigore, al 1° gennaio 2021, non poteva però essere anticipata (in particolare l'art. 11a nLPC). 2.6.  In concreto l’insorgente in sede di ricorso non contesta che nella tassazione 2001/2002 era stata dichiarata una sostanza di fr. 4'130'000, composta da fr. 1'300'000 per un inventario di società site in __________ e __________, da fr. 2'350'000 di capitali e da fr. 480'000 di azioni di società varie, non più figurante nella tassazione 2003 e che nel 2005 ha conseguito un reddito di fr. 850'000 grazie alla vendita delle azioni della società __________. Non è neppure in discussione che parte della sostanza, per un importo complessivo di fr. 2'878'500, è stata utilizzata per saldare debiti fiscali. Occorre stabilire se a ragione la Cassa ha preso in considerazione quale rinuncia della sostanza l’importo rimanente di fr. 2'101'500 ([4'130'000 – 2'878'500] + 850'000). Il ricorrente afferma che fr. 1'300'000 concernono il presunto valore di apparecchi __________ detenuti da società in __________ ed in __________, la cui attività non è mai iniziata, con le conseguenze che le società sono fallite e che l’interessato ha perso tutto l’investimento. Si tratterebbe di valori persi dal ricorrente riconosciuti fiscalmente. L’assicurato, malgrado sia stato più volte invitato dalla Cassa a produrre la prova di quanto da lui asserito, neppure in sede di ricorso ha allegato documentazione comprovante le sue argomentazioni. Dagli atti non risulta né che si tratterebbe di averi di società fallite, né che il ricorrente avrebbe subito perdite per l’investimento effettuato che sarebbero state prese in considerazione dal fisco, né se le “__________” sono state vendute dall’interessato o nell’ambito di una procedura di fallimento e l’esito della medesima. Dalle tavole processuali non emerge neppure che tali averi sarebbero stati sequestrati nell’ambito delle inchieste penali aperte nei suoi confronti. Giova qui rammentare che nel diritto delle assicurazioni sociali, e quindi dinanzi al Tribunale delle assicurazioni sociali, l'obbligo di accertamento d'ufficio dei fatti, correlato dal dovere di collaborazione delle parti, dispensa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(STFA K 207/00 del 26 settembre 2001, consid. 3c; STFA K 202/00 del 18 settembre 2001, consid. 3b; DTF 124 V 375 consid. 3; RAMI 1999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 Va inoltre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Nell'evenienza concreta, dunque, l’insorgente non può limitarsi a sostenere che l’attività delle società non sarebbe iniziata, che le medesime sarebbero fallite e che avrebbe perso tutto l’investimento. Questa affermazione non è sufficiente, alla luce della giurisprudenza esposta, per sollevare il ricorrente dall'obbligo che gli incombe di comprovare le proprie allegazioni apportando delle pezze giustificative. Da quanto precede discende che correttamente la Cassa ha considerato come una rinuncia di sostanza per dispendio ingiustificato di capitali ai sensi dell'art. 11 cpv. 1 lett. g vLPC e dell'art. 11a cpv. 2 nLPC, gli importi della sostanza figuranti nella tassazione 2001/2002 il cui consumo non è stato comprovato, non avendo l'insorgente dimostrato di avere ottenuto per questi beni delle contropartite né di essere stato obbligato giuridicamente ad agire in tal senso. Pertanto, l'importo di 1'251’500 deve essere computato nella sostanza dell'assicurato come se egli non vi avesse rinunciato a partire dal 2001. Infatti, gli importi (di reddito o di sostanza) ai quali l'assicurato rinuncia vanno considerati nel calcolo delle PC come ancora presenti tra i suoi averi (N. 3081.01 DPC). Per quanto concerne invece l’importo di fr. 850'000 che la Cassa ha preso in considerazione quale rinuncia dal 2005 in seguito alla compravendita delle azioni della ditta __________ avvenuta nel 2005 per fr. 850'000, questo TCA rileva che per la prima volta, in sede di ricorso, l’insorgente ha prodotto il contratto (doc. B). Dal medesimo figura che il prezzo di compravendita è stato soluto nella misura di fr. 320'000 e di fr. 164'000 tramite computazione di debiti ipotecari della società e di fr. 200'000 e di fr. 166'000 con versamento dell’importo ad un legale che si era impegnato ad utilizzare l’ammontare per pagare l’Ufficio esazioni e condoni nella misura di fr. 343'031.35 (da aggiornare eventualmente al momento del pagamento). Tuttavia, da una parte va rilevato che, come accennato dalla Cassa in sede di risposta, se non si prendesse in considerazione tale importo, l’interessato non avrebbe comunque diritto alle prestazioni. Infatti, rammentato che nell’ultimo calcolo agli atti, quello per l’anno 2019 (pag. 31 – 1/2) il patrimonio complessivo, tenuto conto dell’ammortamento annuo di fr. 10'000, ammontava ancora a fr. 1'894'000, deducendo fr. 850'000, si otterrebbe una somma di fr. 1'044'000. Computandola nella misura di 1/10 (cfr. art. 11 lett. c vLPC), ossia per fr. 104'400, si otterrebbe comunque un’eccedenza di fr. 94'183 in luogo di fr. 179'183 (cfr. pag. 31 – 1/2). L’insorgente non avrebbe dunque in ogni caso diritto ad alcunché. Ciò vale a maggiore ragione dal 2021 ritenuto che per l’art. 9a cpv. 1 nLPC hanno diritto a prestazioni soltanto le persone sole la cui sostanza netta è inferiore a fr. 100'000. Inoltre, a prescindere dalla circostanza che il contratto non comprova comunque che i debiti citati erano a carico del ricorrente, va comunque rammentato che, per quanto concerne i debiti fiscali, la Cassa ne ha già ampiamente tenuto conto con la deduzione complessiva di fr. 2'878'500, allorché il fisco afferma di aver ricavato dalle varie procedure “solo” l’importo di fr. 2'006'561.26 (pag. 53 - 2/2) e dunque non se ne deve tenere ulteriormente conto. Un importo di fr. 366'000 (200'000 + 166'000) andrebbe comunque preso in considerazione. Ciò che, alla luce del calcolo sopra esposto, escluderebbe il diritto alle prestazioni. 2.7.  Per quanto concerne la, generica, contestazione del ricorrente, relativa alla presa in considerazione dei redditi figuranti nelle tassazioni emesse dopo il suo pensionamento, allorché, secondo la sua tesi, non sarebbero stati conseguiti poiché non avrebbe lavorato dopo i 65 anni, va rammentato che per l’art. 23 cpv. 1 OPC-AVS/AI, di regola, per il calcolo della prestazione complementare annua sono considerati i redditi determinanti ottenuti nel corso dell’anno civile precedente e lo stato della sostanza al 1° gennaio dell’anno in cui è assegnata la prestazione. Secondo l’art. 23 cpv. 2 OPC-AVS/AI per gli assicurati la cui sostanza e i cui redditi da considerare ai sensi della LPC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Con riferimento alla STCA 33.2022.6 del 23 maggio 2022, consid. 2.12, va ricordato che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 STF 9C_681/2019 del 19 ottobre 2020, consid. 3.1; STF 9C_441/2015 del 19 febbraio 2016 parzialmente pubblicata in SVR 2016 AHV Nr. 4 pag. 11; DTF 134 V 250, consid. 3; DTF 110 V 83 consid. 4 e 369 consid. 2a). A proposito del vincolo delle notifiche di tassazione per la Cassa di compensazione, va segnalata la sentenza 9C_543/2019 del 20 gennaio 2020, pubblicata in SVR 2020 AHV Nr. 11, dove il Tribunale federale ha costatato nel caso giudicato che sussistevano certamente dei dubbi circa la correttezza della tassazione fiscale, ma tuttavia non si era in presenza di un errore chiaramente comprovato, immediatamente emendabile (cfr. consid. 5.2). La persona assicurata avrebbe dovuto difendere i propri diritti nell'ambito di una procedura giudiziaria in ambito tributario (cfr. consid. 5.4). L'Alta Corte al considerando 3.2.2 ha rammentato che secondo la giurisprudenza il giudice delle assicurazioni sociali non può scostarsi da una tassazione fiscale cresciuta in giudicato neppure quando emerge che sarebbe verosimilmente stata corretta se fosse stata contestata tempestivamente (“ Nach der Rechtsprechung darf das Sozialversicherungsgericht selbst dann nicht von einer rechtskräftigen Steuertaxation abweichen, wenn die Abklärung ergibt, dass die Veranlagung für die direkte Bundessteuer wahrscheinlich korrigiert worden wäre, wenn sie rechtzeitig mit einem gesetzlichen Rechtsmittel angefochten worden wäre. ”). Al considerando 5.2 l'Alta Corte ha evidenziato che è vero che le tassazioni non sono vincolanti quando vi sono errori manifesti. Tuttavia, essi devono poter essere emendati immediatamente senza ulteriori indugi (“ Zwar besteht keine Bindung, wenn klar ausgewiesene Irrtümer vorliegen. Diese müssen jedoch, auch ohne weiteres richtiggestellt werden können (vgl. E. 3.1) ”). In concreto l’insorgente non ha contestato le tassazioni emesse nel corso degli anni dove figurano vari redditi, né del resto, in questa sede, comprova che esse contengano errori manifesti e debitamente comprovati, immediatamente emendabili oppure che si devono apprezzare fatti irrilevanti dal profilo fiscale, ma decisivi in tema di assicurazioni sociali. Ne segue che neppure questa censura può trovare accoglimento. 2.8.  Alla luce di tutto quanto sopra esposto, la decisione su opposizione impugnata merita conferma, mentre il ricorso va respinto. 2.9.  Con osservazioni del 22 settembre 2023 l’assicurato ha affermato di non avere ulteriori prove a parte, se ritenuta necessaria, la sua audizione personale (doc. IX). Alla luce della documentazione agli atti questo Tribunale rinuncia all’assunzione di ulteriori prove ed all’audizione del ricorrente, il quale non potrebbe che ripetere quanto già più volte affermato nel corso della procedura.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ma ha semplicemente indicato eventualmente l’audizione personale “ se ritenuta necessaria per chiarire quanto sostiene l’amministrazione ”.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il ricorrente ha potuto far valere le proprie argomentazioni per iscritto (STF 8C_550/2017 del 12 gennaio 2018) e la documentazione già presente agli atti consente al TCA di emanare il proprio giudizio, senza la necessità di ricorrere ad altre prove come l’audizione personale del ricorrente. Per i suddetti motivi, l’audizione dell’assicurato si rivela superflua. 2.10.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Con il ricorso l'assicurato ha chiesto di essere posto al beneficio dell'assistenza giudiziaria con il gratuito patrocinio dell’avv. RA 1. Di principio un assicurato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una prima valutazione sommaria della tematica in esame il ricorso era, sin dall'inizio, sprovvisto di esito favorevole. Come visto nei considerandi di diritto, l’insorgente non ha infatti apportato alcuna prova atta a dimostrare di aver consumato la sostanza figurante nella tassazione 2001/2002 e non utilizzata per solvere il debito fiscale. Alla luce della copiosa giurisprudenza pubblicata nel sito www.sentenze.ti.ch in relazione alla rinuncia di sostanza (cfr., fra le tante, STCA 33.2021.15 del 14 febbraio 2022), l’impugnativa appariva, dopo un esame forzatamente sommario, destinata all'insuccesso già al momento della sua presentazione, in quanto le prospettive di esito favorevole erano considerevolmente minori dei rischi di perdere la causa (cfr. STF 9C_992/2012 del 27 marzo 2013 consid. 5; DTF 125 II 265 consid. 4c; STCA 42.2017.37 del 5 ottobre 2017; STCA 38.2007.100 del 25 febbraio 2008; STCA 35.2002.12 del 21 maggio 2002; STCA 35.2002.32 del 9 luglio 2002). Facendo quindi difetto uno dei tre presupposti cumulativi necessari per ottenere l'assistenza giudiziaria, non occorre verificare oltre l'adempimento delle altre due condizioni. L'istanza di assistenza giudiziaria con gratuito patrocinio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