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33.2022.23 vom 5. Dezember 2022</w:t>
      </w:r>
    </w:p>
    <w:p>
      <w:r>
        <w:t>TI Tribunale d'appello, 2022-12-05, IT</w:t>
      </w:r>
    </w:p>
    <w:p>
      <w:r>
        <w:rPr>
          <w:b/>
        </w:rPr>
        <w:t xml:space="preserve">Quelle: </w:t>
      </w:r>
      <w:r>
        <w:t>https://mcp.opencaselaw.ch/entscheid/ti_gerichte_33.2022.23</w:t>
      </w:r>
    </w:p>
    <w:p>
      <w:r>
        <w:t>FR: TI_GERICHTE 33.2022.23 du 5 décembre 2022</w:t>
      </w:r>
    </w:p>
    <w:p>
      <w:r>
        <w:t>IT: TI_GERICHTE 33.2022.23 del 5 dicembre 2022</w:t>
      </w:r>
    </w:p>
    <w:p>
      <w:pPr>
        <w:pStyle w:val="Heading2"/>
      </w:pPr>
      <w:r>
        <w:t>Erwägungen</w:t>
      </w:r>
    </w:p>
    <w:p>
      <w:r>
        <w:rPr>
          <w:b/>
        </w:rPr>
        <w:t>E. 22</w:t>
      </w:r>
    </w:p>
    <w:p>
      <w:r>
        <w:t>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In concreto, trattandosi della restituzione di prestazioni percepite dalla ricorrente dal 2015 al 2020, fanno senza dubbio stato le norme materiali vigenti fino all'entrata in vigore della Riforma delle PC e quindi valide fino al 31 dicembre 2020. 2.3.  Oggetto del contendere è la correttezza dell'ordine di restituzione emesso dalla Cassa cantonale di compensazione nei confronti della ricorrente per le prestazioni complementari versate dal 1° aprile 2015 al 31 marzo 2020, che il 10 marzo 2020 la Cassa ha calcolato ammontare a CHF 4'068. 2.4. L'art. 25 cpv. 1 1a frase LPGA stabilisce che le prestazioni indebitamente riscosse devono essere restituite. Il capoverso 2 dell'art. 25 LPGA, nel tenore in vigore fino al 31 dicembre 2020,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2.5. Dopo essere venuta a conoscenza, con la ricezione del formulario di revisione delle prestazioni complementari a fine anno 2019, che l'assicurata locava un immobile, la Cassa di compensazione si è fatta trasmettere dall'assicurata il contratto di locazione, visto che fino a quel momento aveva ritenuto che vivesse nell'abitazione di sua proprietà sita sulla particella n. 2092 RFD di __________ e quindi aveva computato il relativo valore locativo quale pigione. La Cassa ha perciò dato mandato all'Ufficio stima di peritare il fondo non più adibito ad abitazione primaria dell'assicurata. Inoltre, le ha chiesto informazioni riguardo agli altri suoi immobili, scoprendo che li aveva donati nel 2017. Con decisione formale del 10 marzo 2020 la Cassa ha stabilito il nuovo diritto alle prestazioni complementari dell'assicurata. Come risulta dai fogli di calcolo allegati, dal 1° aprile 2015 al 31 marzo 2020 l'interessata non aveva più diritto alle prestazioni complementari, poiché tre le entrate ha considerato una quota della proprietà fondiaria secondaria di CHF 200'000 e una rinuncia di sostanza di CHF 71'940, che poi diminuiva di anno in anno. Constatato, quindi, un indebito riconoscimento di prestazioni, giusta l'art. 25 cpv. 1 1a frase LPGA la Cassa ha chiesto la restituzione della somma di CHF 4'086 erroneamente versata dal 1° aprile 2015 al 31 marzo 2020. 2.6.  Per 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e che l'art. 11 LPC enumera esaustivamente i redditi computabili/ non computabili e fra quelli computabili (cpv. 1)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2.7.  Nei fogli di calcolo posti alla base della decisione impugnata, la Cassa di compensazione ha computato fino al 30 giugno 2017 l'importo di CHF 271'940 quale valore della proprietà fondiaria secondaria, mentre dal 1° luglio 2017 ha distinto questo importo fra la rinuncia alla sostanza e la proprietà fondiaria secondaria. Da quel momento, infatti, la proprietà fondiaria secondaria è stata ritenuta in ragione di CHF 200'000, ovvero pari al valore venale stabilito dall'Ufficio stima, mentre la posta della rinuncia di sostanza, inizialmente ammontante a CHF 71'940 nel 2017 e nel 2018, è stata diminuita ogni anno di CHF 10'000 e nel 2020 era di CHF 51'940. L'insorgente ha contestato il rifiuto della prestazione, rilevando di avere sempre inviato all'amministrazione tutta la necessaria documentazione, che già a suo tempo l'Ufficio stima ha valutato i suoi fondi e che da allora la sua sostanza non si è modificata. Occorre quindi determinare l'importo della sostanza della ricorrente. 2.8. Per la determinazione del valore dei fondi di proprietà dell'assicurata, si deve distinguere fra l'immobile che dal 2010 non le serve più da abitazione primaria e gli immobili che ha donato - e non venduto - al nipote nel 2017. Nel primo caso fa stato l'art. 17 cpv. 4 OPC-AVS/AI, che prevede infatti, che la sostanza immobiliare che non serve di abitazione al richiedente o a una persona compresa nel calcolo delle PC deve essere computata al valore corrente. Nel secondo è applicabile l'art. 17 cpv. 5 OPC-AVS/AI, giusta cui in caso di alienazione di un immobile, a titolo oneroso o gratuito, il valore venale è determinante per sapere se ci si trova in presenza di una rinuncia a elementi patrimoniali ai sensi dell'art. 11 cpv. 1 lett. g LPC. Il criterio di valutazione è quindi il medesimo, ma la differenza segue poi nella sorte degli importi così determinati. Secondo la prassi dell'allora TFA (dal 1° gennaio 2007: Tribunale federale), per stabilire il valore commerciale l'amministrazione deve far esperire una perizia da un ufficio competente. Il TCA ha dichiarato illegale la precedente prassi della Cassa, che consisteva nell'aumentare sistematicamente del 30% il valore di stima ufficiale. Applicando questo metodo, nel caso di nuove stime poteva risultare un valore superiore a quello corrente (RDAT II-1995 pagg. 203 segg.).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effettuata dall'Ufficio cantonale di stima, il Tribunale federale ha confermato l'operato dei periti (STFA P 10/06 del 13 aprile 2007; STFA P 38/96 del 27 febbraio 1998). 2.9.  Nell'ambito della domanda di PC inoltrata dall'assicurata nel 2015, l'8 aprile 2015 (doc. 5) la Cassa di compensazione ha chiesto all'Ufficio stima di peritare il fondo n. 3089 RFP di __________ e i mappali numeri 5726, 5730, 5731, 5734, 5737 5775 VM di __________, determinandone il valore venale. Il 9 luglio 2015 (doc. 7) l'Ufficio stima ha stabilito rispettivamente in CHF 600, CHF 30, CHF 150, CHF 900, CHF 60, CHF 800 e CHF 70'000 il valore venale dei predetti fondi e ha inserito la somma di CHF 71'940 nelle entrate dell'assicurata quale proprietà fondiaria secondaria. A questo importo ha aggiunto CHF 72'991, corrispondenti al valore fiscale della particella n. 2092 RFD di __________, avendo a quel momento considerato che l'assicurata avesse eletto questa dimora ad abitazione primaria, computando di conseguenza il relativo valore locativo a titolo di pigione. Nell'estate 2019 la Cassa è venuta a sapere, in occasione della revisione periodica del diritto alle prestazioni complementari, che dal 2010 l'assicurata viveva in un appartamento di 2,5 locali nel nucleo di __________ e che pagava una pigione mensile di CHF 450 netti rispettivamente di CHF 5'400 annui, assumendosi per intero le spese accessorie. Pertanto, la casa edificata sul predetto mappale n. 2092 non era più adibita ad abitazione primaria dell'interessata e perciò doveva, alla stessa stregua degli altri sette fondi, essere valutata al valore venale (art. 17 cpv. 4 OPC-AVS/AI). La richiesta della Cassa in tal senso del 9 gennaio 2020 (doc. 32) è stata evasa un mese dopo (doc. 35) dall'Ufficio stima, che ha stabilito in CHF 200'000 il valore di questo immobile. La correttezza e completezza di questa valutazione, così come la precedente per gli altri sette suoi fondi, non è stata contestata dalla ricorrente. Non v'è motivo di scostarsi dalla cifra ritenuta. 2.10.  Alla ricorrente va ricordato che è indifferente, in questo caso, che il valore fiscale dei suoi immobili sia aumentato passando da CHF 78'489 a CHF 93'434 siccome, nell'evenienza concreta, non è determinante il valore di stima, ma quello venale. Infatti, d'un canto l'assicurata ha donato questi sette fondi al nipote e quindi li ha alienati a titolo gratuito rinunciando a una parte della sua sostanza (art. 17 cpv. 5 OPC-AVS/AI); d'altro canto, essa non utilizza più l'immobile edificato sulla particella n. 2092 come abitazione primaria (art. 17 cpv. 4 OPC-AVS/AI), vivendo dal 2010 in locazione in una casa nel nucleo di __________. L'affermazione dell'assicurata secondo cui la sua situazione patrimoniale non sarebbe mutata negli anni non è corretta. Della donazione avvenuta nel 2017 l'assicurata nulla ha comunicato alla Cassa di compensazione, anzi, al momento della revisione periodica del 2019 ha espressamente negato di avere effettuato delle donazioni. Ciò ha comportato che la Cassa ha continuato a considerare il valore venale di questi sei fondi fondandosi sul capoverso 4 dell'art. 17 OPC-AVS/AI anziché sul capoverso 5 e quindi non ha proceduto, come previsto dall'art. 17a OPC-AVS/AI, all'ammortamento annuo di CHF 10'000 della sostanza a partire dal 1° gennaio dell'anno che segue la rinuncia. Quanto all'immobile che dal 2010 non fungeva più da abitazione primaria, se è vero che è rimasto di proprietà dell'assicurata, tuttavia, per il diritto alle prestazioni complementari, il suo computo nelle entrate della beneficiaria di PC muta a differenza della qualifica che gli viene data. Se l'immobile serve da abitazione all'assicurata, si considera il suo valore di stima (art. 17 cpv. 1 OPC-AVS/AI in connessione con l'art. 42 LT), mentre se la sostanza immobiliare non serve come abitazione primaria, al richiedente deve essere computata al valore venale (art. 17 cpv. 4 OPC-AVS/AI). È questa seconda ipotesi che si è realizzata nel 2010, ma di cui l'amministrazione è venuta a conoscenza solo nel 2019, non avendo l'assicurata segnalato alcunché nel 2015 quando ha fatto richiesta delle prestazioni complementari. In effetti, l'apposito formulario non indica nulla in merito al pagamento di una pigione (domande n. 53-55) e dunque, legittimamente, la Cassa poteva intendere che la richiedente abitasse nella casa sita sulla particella n. 2092 RFD di __________. Per questo motivo, le ha computato a titolo di affitto il valore locativo di questo fondo. 2.11.  La Cassa cantonale di compensazione ha dunque proceduto correttamente emanando la decisione di restituzione con cui ha rivisto la situazione patrimoniale dell'assicurata. L'amministrazione ha a buon diritto computato all'assicurata dal 1° aprile 2015, ovvero da quando è sorto il diritto alle prestazioni complementari, il valore venale di CHF 200'000 della particella n. 2092 RFD di __________. Questo importo è stato giustamente sommato al valore venale degli altri fondi dell'interessata e conteggiato a titolo di proprietà fondiaria secondaria. Tuttavia, come è espressamente indicato nella decisione di restituzione, nel totale figurante nei fogli di calcolo la Cassa ha dimenticato di inserire il valore venale di CHF 600 (doc. 7-2/8) della particella n. 3089 RFP di __________, ritenendo un totale di CHF 71'940, in luogo di CHF 72'540, per i sette immobili di proprietà dell'assicurata peritati nel 2015. Malgrado la segnalazione figurante in grassetto sulla predetta decisione, per il periodo dal 1° aprile 2015 al 30 giugno 2017 l'amministrazione non ha però corretto nei fogli di calcolo allegati l'importo della proprietà fondiaria secondaria, ma ha inserito ancora l'ammontare di CHF 271'940 anziché di CHF 272'540. Dal 1° luglio 2017, l'importo di CHF 271'940 è stato giustamente suddiviso in CHF 200'000 considerati come proprietà fondiaria secondaria e in CHF 71'940 a titolo di rinuncia di sostanza poiché, come visto, con la donazione al nipote nel giugno 2017 l'assicurata ha alienato alcuni suoi fondi. Va però osservato che la donazione ha riguardato sei dei suoi otto immobili (doc. D), perciò dopo questa transazione l'interessata è rimasta proprietaria delle particelle 2092 e n. 3089. Di conseguenza, dopo l'alienazione delle sei particelle, l'importo della sostanza da computare a titolo di rinuncia di sostanza assommava a CHF 71'940, mentre il valore della proprietà fondiaria secondaria è aumentato di CHF 600 (riferita alla particella 3089) e quindi andava conteggiato in ragione di CHF 200'600. L’errore in cui è incappata la Cassa cantonale di compensazione è ininfluente ai fini dell’obbligo restitutivo, così come lo è il fatto che l’amministrazione non abbia computato le spese accessorie relative alla sua locazione (come si vedrà nelle considerazioni successive). In effetti, come si rileva dai documenti 40 a 53 (ossia dai calcoli relativi al diritto alle PC sulla scorta dei nuovi valori ritenuti dall’amministrazione e oggetto delle considerazioni che precedono) l’eccedenza delle entrate, per tutti i periodi d’interesse, è molto significativa. Nel doc. 40 la funzionaria incaricata ha ricalcolato il diritto alle PC della signora RI 1 per il periodo dal 1° gennaio 2020. Essa ha ritenuto un patrimonio computabile di CHF 216'226 (di cui 1/10 da ritenere, ossia CHF 21'622) in luogo di CHF 216826 per un importo da ritenere nel calcolo di CHF 21'682. Analogamente ciò è avvenuto per gli altri periodi di calcolo. L’eccedenza di entrate considerata in tutti i calcoli è però notevole, per il 2020 il superamento è di CHF 12'788; per l’anno 2019 assomma a CHF 12'808, l’anno precedente a CHF 14’020, nel 2017 a CHF 14’340 nel secondo semestre, mentre nel primo semestre CHF 14'269, nel 2016 a CHF 14'326 mentre nel 2015 (dal 1° aprile 2015 data d’inizio del beneficio delle PC) a CHF 14'624. Un peggioramento di CHF 600 dell’importo della sostanza, con un riflesso di CHF 60 per la determinazione del diritto alle PC appare quindi, come detto, assolutamente ininfluente (doc. 40 a 53). 2.12.  Nei nuovi calcoli, la Cassa di compensazione ha però ritenuto l’importo della pigione di CHF 450 al mese pagata dal 2010, mentre non sembra avere considerato il forfait relativo alle spese accessorie. La locatrice ha infatti confermato quanto sostenuto dalla ricorrente e cioè che la pigione annua di CHF 5'400 è rimasta invariata e che la conduttrice si assume tutte le spese accessorie (doc. 33-3/11). L'OPC-AVS/AI definisce le spese accessorie riconosciute. art. 16a Forfait per spese accessorie 1 Nei confronti di persone che abitano un immobile di loro proprietà, per le spese accessorie è previsto soltanto un forfait. 2 Il capoverso 1 si applica pure alle persone che beneficiano di un usufrutto o sono titolari di un diritto di abitazione sull'immobile che esse abitano. 3 L'importo annuo del forfait è di 1680 franchi. 4 La limitazione secondo l'articolo 10 capoverso 1 lettera b LPC deve essere rispettata. Art. 16b Forfait per spese di riscaldamento 1 Oltre alle spese accessorie usuali, un forfait per le spese di riscaldamento è concesso alle persone che vivono in locazione in un appartamento da esse stesse riscaldato e non devono pagare al locatore alcuna spesa di riscaldamento ai sensi dell'articolo 257b capoverso 1 del Codice delle obbligazioni. 2 L'ammontare annuo del forfait è uguale alla metà dell'ammontare di cui all'articolo 16a. Nel Commento edito nel gennaio 2020 riguardante la Modifica dell'ordinanza sulle prestazioni complementari all'assicurazione per la vecchiaia, i superstiti e l'invalidità (OPC-AVS/AI) - Disposizioni d'esecuzione della riforma delle PC, l'Ufficio federale delle assicurazioni sociali si è così espresso sull'art. 16a cpv. 3 OPC-AVS/AI: " Nel caso dei beneficiari di PC che abitano un immobile di loro proprietà, per il calcolo delle PC viene riconosciuto quale spesa, tra le spese di abitazione, un importo forfettario per le spese accessorie. Queste spese includono le spese per il riscaldamento e l'acqua calda, altre spese d'esercizio analoghe nonché i tributi pubblici connessi all'uso della cosa. Per le persone che vivono in locazione in un appartamento da esse stesse riscaldato e che non devono pagare al locatore alcuna spesa di riscaldamento, per il calcolo delle PC è riconosciuto quale spesa anche un importo forfettario per le spese di riscaldamento, che corrisponde alla metà dell'importo forfettario per le spese accessorie previsto per i proprietari di immobili. Gli importi forfettari sono stati adeguati per l'ultima volta con effetto dal 1° gennaio 1998 e da allora sono rimasti pari a 1680, rispettivamente, 840 franchi all'anno. Nella maggior parte dei casi, questi importi non coprono le spese effettive e vanno pertanto adeguati.". Dal testo letterale dell'art. 16a e dell'art. 16b OPC-AVS/AI, così come rilevato dall'UFAS, discende chiaramente che le spese accessorie (art. 16a OPC-AVS/AI) - fino al 31 dicembre 2020 pari a CHF 1'680 e dal 1° gennaio 2021 a CHF 2'520 - sono riconosciute unicamente ai proprietari di immobili e a chi ad esso si sostituisce in virtù di un diritto di usufrutto o di abitazione. Le spese di riscaldamento (art. 16b OPC-AVS/AI), ammontanti a CHF 840 rispettivamente a CHF 1'260, sono invece concesse ai conduttori di immobili che sono tenuti, essi stessi, a riscaldare a proprie spese l'abitazione che locano. In altre parole, questi due forfait non sono cumulabili, giacché concernono due diversi titolari del diritto alle prestazioni complementari. Nel caso concreto, considerato che la conduttrice provvede personalmente alle spese di riscaldamento acquistando direttamente la legna, le si deve computare il forfait di CHF 840 per le spese accessorie. Questo importo va così ad aggiungersi alla pigione netta annua pagata dall'assicurata, perciò a titolo di locazione va computato l'ammontare di CHF 6'240 (CHF 5'400 + CHF 860). Come osservato però in coda al considerando precedente, questo miglioramento per la ricorrente, ossia la maggiorazione di CHF 840 del fabbisogno per ogni anno di calcolo del diritto alle PC (doc. 40 – 53), non influenza l’importo delle prestazioni da restituire. Il superamento delle entrate è infatti notevole (cfr. consid. 2.11. in fine: “L’eccedenza di entrate considerata in tutti i calcoli è … per il 2020 … di CHF 12'788; per l’anno 2019 assomma a CHF 12'808, l’anno precedente a CHF 14’020, nel 2017 a CHF 14’340 nel secondo semestre mentre nel primo semestre CHF 14'269, nel 2016 a CHF 14'326 mentre nel 2015 … a CHF 14'624 .”). In questo contesto un miglioramento di CHF 840 annui non muta il fatto che la ricorrente non avrebbe avuto diritto alle PC dal 1° aprile 2015 sino alla loro revoca e che, conseguentemente, debba rendere in toto gli importi indebitamente percepiti. Il ricorso deve conseguentemente essere respinto. 2.13.  In più occasioni, nei suoi allegati, la ricorrente postula in ogni caso, il condono dell’importo da restituire invocando la propria buona fede. Per l'art.</w:t>
      </w:r>
    </w:p>
    <w:p>
      <w:r>
        <w:rPr>
          <w:b/>
        </w:rPr>
        <w:t>E. 25</w:t>
      </w:r>
    </w:p>
    <w:p>
      <w:r>
        <w:t>cpv. 1 seconda frase LPGA, la restituzione non deve essere chiesta se l'interessato era in buona fede e verrebbe a trovarsi in gravi difficoltà. Secondo costante giurisprudenza,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(STF 9C_387/2011 del 25 luglio 2011; STF 8C_1031/2008 del 29 aprile 2009; STF I 121/07 del 16 gennaio 2008; STF 9C_233/2007 del 28 giugno 2007). In concreto la Cassa ha deciso l’obbligo restitutivo, qui confermato. Solo quando il giudizio relativo alla restituzione diverrà definitivo sarà possibile per la ricorrente domandare il condono, se lo riterrà. 2.14.  In base a quanto precede il ricorso, come indicato, è respinto. Avendo per oggetto 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