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33.2020.5 vom 4. Dezember 2019</w:t>
      </w:r>
    </w:p>
    <w:p>
      <w:r>
        <w:t>TI Tribunale d'appello, 2019-12-04, IT</w:t>
      </w:r>
    </w:p>
    <w:p>
      <w:r>
        <w:rPr>
          <w:b/>
        </w:rPr>
        <w:t xml:space="preserve">Quelle: </w:t>
      </w:r>
      <w:r>
        <w:t>https://mcp.opencaselaw.ch/entscheid/ti_gerichte_33.2020.5_d20191204</w:t>
      </w:r>
    </w:p>
    <w:p>
      <w:r>
        <w:t>FR: TI_GERICHTE 33.2020.5 du 4 décembre 2019</w:t>
      </w:r>
    </w:p>
    <w:p>
      <w:r>
        <w:t>IT: TI_GERICHTE 33.2020.5 del 4 dicembre 2019</w:t>
      </w:r>
    </w:p>
    <w:p>
      <w:pPr>
        <w:pStyle w:val="Heading2"/>
      </w:pPr>
      <w:r>
        <w:t>Regeste</w:t>
      </w:r>
    </w:p>
    <w:p>
      <w:r>
        <w:t>Suddivisione della pigione su più persone.L'assicurato ha ospitato un amico che vi era anche domiciliato,ma poi per lavoro l'amico ha cambiato Cantone e là viveva con la mamma.Dall'assicurato soggiornava raramente,pur mantenendovi il domicilio.Sporadicità della convivenza.No suddivisione di pigione</w:t>
      </w:r>
    </w:p>
    <w:p>
      <w:pPr>
        <w:pStyle w:val="Heading2"/>
      </w:pPr>
      <w:r>
        <w:t>Erwägungen</w:t>
      </w:r>
    </w:p>
    <w:p>
      <w:r>
        <w:rPr>
          <w:b/>
        </w:rPr>
        <w:t>E. 1</w:t>
      </w:r>
    </w:p>
    <w:p>
      <w:r>
        <w:t>13 200 franchi per le persone sole", e che l'art. 11 cpv. 1 LPC enumera esaustivamente i redditi computabili, fra i quali vi sono: " b.   i proventi della sostanza mobile e immobile; c.   un quindicesimo della sostanza netta, oppure un decimo per i beneficiari di rendite di vecchiaia, per quanto superi 25 000 franchi per le persone sole, 40 000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2.3.   Per il computo della pigione la Cassa di compensazione ha considerato che l'assicurato condivideva l'abitazione con un'altra persona che non aveva diritto alle prestazioni complementari. Essendo quindi questo convivente escluso dal calcolo delle PC, l'amministrazione ha ritenuto nel fabbisogno dell'assicurato soltanto un mezzo della pigione lorda. Il ricorrente ha contestato questo aspetto, affermando di avere solo ospitato a titolo formale __________ permettendogli di domiciliarsi presso di lui gratuitamente, ma di fatto questa persona non abitava più nella sua casa da novembre 2017, e meglio da quando aveva trovato lavoro a __________. 2.4.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142 V 299; DTF 105 V 272).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142 V 299; DTF 130 V 263; DTF 127 V 10; DTF 105 V 272; STFA P 21/02 dell'8 gennaio 2003; Urs Müller, Rechtsprechung des Bundesgerichts zum ELG, Zurigo/Basilea/ 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era possibile una deroga al principio ( Carigiet/ 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w:t>
      </w:r>
    </w:p>
    <w:p>
      <w:r>
        <w:rPr>
          <w:b/>
        </w:rPr>
        <w:t>E. 1.2</w:t>
      </w:r>
    </w:p>
    <w:p>
      <w:r>
        <w:t>(…) La disposizione è stata dichiarata conforme alla legge nella sentenza pubblicata in DTF 127 V 10, in quanto impedisce il finanziamento indiretto di persone che non fanno parte del calcolo della prestazione complementare.</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w:t>
      </w:r>
    </w:p>
    <w:p>
      <w:r>
        <w:rPr>
          <w:b/>
        </w:rPr>
        <w:t>E. 2</w:t>
      </w:r>
    </w:p>
    <w:p>
      <w:r>
        <w:t>(…)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w:t>
      </w:r>
    </w:p>
    <w:p>
      <w:r>
        <w:rPr>
          <w:b/>
        </w:rPr>
        <w:t>E. 2.5</w:t>
      </w:r>
    </w:p>
    <w:p>
      <w:r>
        <w:t>.  Anche la giurisprudenza cantonale resa dal Tribunale cantonale delle assicurazioni ha più volte analizzato il tema. Con STCA 33.2001.82 del 14 giugno 2002 è stata ammessa la divisione per due della pigione in un altro caso di convivenza tra madre e figlia e nella STCA del 7 gennaio 2003 (33.2002.72) questo Tribunale Cantonale delle Assicurazioni ha respinto la richiesta di una madre, che condivideva l'appartamento con la figlia maggiorenne ,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Questo Tribunale si è pronunciato il 20 aprile 2015 (33.2015.1) sul caso di un'assicurata che abitava insieme al fratello sin dal 2010, mentre la convivenza con la badante era sorta dal giugno 2014, quando era stata assunta come lavoratrice salariata.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Nella STCA 33.2017.4 il Tribunale si è chinato il 9 febbraio 2018 sul caso del ricorrente che ospitava in casa propria la figlia della sua ex moglie, la quale, andandosene dalla Svizzera, ha lasciato la figlia a carico dell'ex marito. Il TCA ha respinto la richiesta di una diversa ripartizione della pigione, essendo indubbio che la figlia della ex moglie non fosse, dal profilo giuridico, sua figlia e che, pertanto, egli non avesse alcun obbligo di mantenimento nei suoi confronti dal profilo civile. Inoltre, malgrado si occupasse del mantenimento della figlia della sua ex moglie, l'assicurato non poteva avvalersi delle eccezioni al principio della ripartizione del canone di locazione su tutti i coabitanti. In effetti, in quanto maggiorenne, non beneficiaria di una rendita e oltretutto non essendo sua figlia, la studentessa non era in alcun modo compresa nel calcolo della prestazione complementare dell'interessato - che peraltro non era il suo genitore. Infine, nemmeno era stata sollevata la tesi che la studentessa si prendesse cura dell'assicurato, ma semmai era il contrario, perciò anche per tale motivo la fattispecie non rientrava fra le eccezioni ammesse dall'art. 16c cpv. 2 OPC-AVS/AI, non essendo confrontati con una situazione di riconoscenza da parte dell'uno nei confronti dell'altra. Non v'era dunque né un obbligo giuridico né un obbligo morale di mantenimento da parte del ricorrente nei confronti della figlia della sua ex moglie. Nella STCA 33.2018.4 del 16 luglio 2018 il TCA ha confermato la suddivisione a metà della pigione lorda pagata da un assicurato che condivideva l'abitazione con la sua badante, alla quale veniva detratto dallo stipendio il vitto e l'alloggio. Trattandosi quindi di una convivenza onerosa e non a titolo gratuito, non si poteva invocare l'eccezione alla suddivisione paritaria . Il 14 agosto 2018 (33.2018.6) la scrivente Corte si è pronunciata sul caso di una mamma che inizialmente conviveva con la figlia, la quale, poi, si è sposata e ha avuto due figli. Pertanto, sotto lo stesso tetto abitavano la ricorrente, la figlia con il marito e i loro due figli rispettivamente nipotini dell'assicurata. Non è stata menzionata né comprovata una particolare suddivisione dei locali né tanto meno che la vita in comune si fondava su un obbligo morale o giuridico, quale un obbligo di mantenimento del diritto civile giusta l'art. 276 CC e l'art. 277 CC e nemmeno un obbligo di assistenza tra parenti dell'art. 328 CC. I motivi economici alla base della convivenza non erano sufficienti per ammettere l'eccezione alla suddivisione per teste della pigione. Nel caso deciso il 7 gennaio 2019 (33.2018.13), seppure per poco tempo (5 mesi) sotto lo stesso tetto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pigione lorda dell'abitazione sia stata ripartita fra le singole persone che abitavano nell'immobile locato dall'assicurato. Di recente (STCA 33.2019.18 del 12 febbraio 2020) il Tribunale ha giudicato su una fattispecie simile alla STCA 33.2017.4, visto che il ricorrente ha ospitato in casa propria il figlio della sua (ex) moglie. Secondo l'assicurato, sebbene fosse maggiorenne (1991), anche una volta portati a termine gli studi il ragazzo non era in grado di mantenersi da solo, perciò egli ha sentito un dovere morale di mantenerlo e di prendersi cura di lui dandogli vitto e alloggio gratuiti. Il TCA ha evidenziato che il figlio di primo letto di sua moglie non era, dal profilo giuridico, suo figlio e che, pertanto, l'insorgente non aveva alcun obbligo giuridico di mantenimento nei suoi confronti dal profilo civile. Inoltre, benché l'assicurato si sia occupato del mantenimento del ragazzo, non poteva avvalersi delle eccezioni al principio della ripartizione del canone di locazione su tutti i coabitanti. In effetti, in quanto maggiorenne, non beneficiario di una rendita, e oltretutto non essendo suo figlio, il giovane non era in alcun modo compreso nel calcolo della prestazione complementare del ricorrente. Nemmeno era possibile sostenere che il figlio della moglie si prendesse cura dell'insorgente ma, semmai, era il contrario. Nel suo ultimo giudizio del 27 aprile 2020 (33.2019.22), la scrivente Corte ha statuito sul caso di una mamma che, sin dalla loro nascita, ha vissuto con i due figli, uno dei quali si è sposato e sia la moglie sia il loro figlio vivevano nell'abitazione della beneficiaria di prestazioni complementari. Il TCA ha riconosciuto la suddivisione per teste della pigione della ricorrente in funzione dei periodi di presenza dei suoi parenti e ha rinviato gli atti alla Cassa di compensazione per verificare se integrare o meno un figlio nella composizione familiare per un determinato periodo. 2.6.   Nell'evenienza concreta, occorre stabilire se __________ condivideva effettivamente l'abitazione del ricorrente quando quest'ultimo ha postulato le prestazioni complementari, quindi nel mese di ottobre 2019. Nell'opposizione del 13 gennaio 2020 (doc. III/2) l'assicurato ha affermato che non è mai esistito un coinquilino che pagava una pigione o che l'aiutasse a coprire le spese del suo immobile. Questa persona risultava formalmente domiciliata presso di sé, ma di fatto essa risiedeva in un altro Cantone. Egli le ha soltanto dato la possibilità, per amicizia, di fare figurare il domicilio in Ticino visto che i suoi figli abitano nel nostro Cantone e ogni tanto veniva a trovarli. Questa finta domiciliazione era senza controprestazione, eccetto, quando c'era, accompagnarlo alle visite mediche o a fare acquisti. Non si trattava dunque della presenza di un coinquilino, ma della domiciliazione di un amico. Con il ricorso l'assicurato ha precisato che dal novembre 2017 non ha più condiviso la sua abitazione con __________, poiché quest'ultimo aveva trovato lavoro a __________, ma non ha notificato il cambiamento perché non sapeva che era tenuto a farlo e perché sperava di trovare presto un posto di lavoro in Ticino. Da parte sua, la Cassa di compensazione ha interpellato il Comune di __________, che al riguardo si è così espresso il 31 gennaio 2020 (doc. 158): " Al nostro controllo abitanti risulta che, presso l'economia domestica del signor RI 1, sia presente anche il signor __________, 1963. Il signor __________ è arrivato a __________ il 21.04.2015 proveniente da __________. Se fosse corretto quanto indicato al punto 4 dell'opposizione, il Comune confederato di residenza avrebbe preteso il deposito di un'autorizzazione di soggiorno ( certificato di domicilio per soggiorno in altro comune ) rilasciata da noi, circostanza non avvenuta.". Durante l'udienza del 15 luglio 2020 (doc. VII) il teste __________ ha dichiarato quanto segue: " (…) Attorno al 2014 e comunque per 4 anni sino verso la fine del 2019, ho reperito un posto di lavoro a __________ presso la __________, posto di lavoro che speravo potesse durare fino al mio pensionamento, ma così non è stato siccome alla fine sono stato licenziato. Durante questo periodo ho lavorato a __________, dormivo presso l’appartamento di mia mamma a __________ e venivo in Ticino un paio di fine settimana al mese per i contatti con i miei 2 figli. Quando venivo in Ticino capitava che dormissi da RI 1, ma più spesso stavo dai miei figli e con loro, il minore ha oggi 25 anni e studia, mentre il più grande ha 28 anni ed è indipendente. La situazione era questa e nonostante ciò non ho pensato di spostare il mio domicilio nel Canton __________, a __________ o nel Cantone __________ per via dell’appartamento della mamma a __________, ma ho mantenuto il domicilio fiscale, politico e il riferimento all’appartamento di RI 1, perché ho sempre sperato di rientrare in Ticino per trovare un lavoro. Attualmente in viale __________ a __________ vivo presso degli amici. A domanda preciso che mia mamma è mancata a __________ in aprile 2020 (…). L’appartamento di __________ è stato definitivamente disdetto con effetto a maggio 2020. (…) La mattina quando lavoravo mi alzavo prima delle 5 per affrontare il tratto di strada fino in ditta e la sera rientravo nell’appartamento della mamma. Il lavoro non l’ho mai svolto dal Ticino, in Ticino venivo quindi un paio di volte mensilmente per la visita ai miei figli. (…) Il matrimonio è avvenuto a __________ il __________ dicembre 2019; in quel momento c’era la disponibilità di un appartamento a __________, appartamento sul quale posso ancora contare ora, si tratta di un affitto e lì volevo fare arrivare dal __________ anche la figlia della mia seconda moglie.". Il giudice delegato ha quindi chiesto al ricorrente il motivo per cui nel formulario di richiesta di PC il 2 ottobre 2019 egli ha indicato, senza specifica alcuna, la convivenza con __________, e questo quando, stando alle dichiarazioni ricorsuali e a quanto ha raccontato il teste, questi risiedeva sostanzialmente fuori Cantone per buona parte del tempo. Al riguardo l'assicurato ha precisato che: " (…) questa era la realtà che appariva dai registri comunali e quindi risultava una convivenza, anche se la stessa materialmente era quella descritta dal teste. Io non ho pensato, alla luce della situazione delle mie condizioni fisiche, di precisare la modalità di questa convivenza, ciò che ho fatto dopo alla luce della decisione amministrativa. (…) Egli non ha pensato all’importanza di questo elemento e ha dichiarato la situazione così come era nota e registrata in seno al controllo abitanti di __________. Per quanto noto al ricorrente, __________ a febbraio 2020 ha notificato la sua partenza da __________. (…)". Quest'ultima circostanza, come richiesto in sede di udienza, è stata accertata dalla Cassa di compensazione presso il Comune di __________ (doc. VIII). 2.7.   Va anzitutto rilevata una incongruenza fra le dichiarazioni del teste e le affermazioni del ricorrente. Quest'ultimo, infatti, ha indicato che dal 2017 la coabitazione con l'amico era soltanto formale e non più anche di fatto, visto che dal novembre 2017 __________ lavorava a __________. Tuttavia, dall'udienza è emerso che il teste ha lavorato presso la ditta __________ per quattro anni, ossia fino al suo licenziamento avvenuto verso la fine del 2019. Durante questo periodo di tempo, in settimana l'amico del ricorrente dormiva presso l'appartamento della mamma a __________ e veniva in Ticino un paio di fine settimana al mese per trovare i suoi due figli presso i quali spesso soggiornava, mentre meno di frequente risiedeva nella casa dell'assicurato. Formalmente, però, come ha accertato l'amministrazione, il teste era domiciliato presso la sua abitazione a __________ sin dal 2015 e ciò fino al 1° febbraio 2020. Questa circostanza è stata confermata dall'assicurato medesimo quando il 2 ottobre 2019 ha compilato il formulario per richiedere le prestazioni complementari. Infatti, alla domanda se v'erano altre persone che convivevano nella sua economia domestica, l'interessato ha indicato il nome di __________, senza però precisare che si trattava di una coabitazione non effettiva. Della natura di questa convivenza, definita dal ricorrente soltanto formale, nulla sapeva l'Ufficio controllo abitanti di __________, visto che il 31 gennaio 2020 ha attestato che presso l'economia domestica dell'assicurato risultava domiciliata una terza persona sin dal 2015 e che se si fosse trattato di una domiciliazione di comodo, risiedendo __________ a tutti gli effetti altrove, questi avrebbe dovuto richiedere un'autorizzazione di soggiorno, circostanza che però non si è realizzata. In effetti, durante la sua audizione il teste ha affermato che in settimana dormiva presso la mamma a __________ e in Ticino veniva un paio di fine settimana al mese per vedere i suoi figli, dai quali soggiornava. Malgrado tale situazione, egli non ha pensato di spostare il proprio domicilio né dove lavorava né dove dormiva, mantenendo invece sempre il domicilio fiscale e politico presso l'indirizzo dell'assicurato. Stante quanto precede, il TCA osserva che l'ospite del ricorrente ha affermato di soggiornare più spesso altrove piuttosto che presso l'abitazione di RI 1. Infatti, dalle sue dichiarazioni è emerso che non solo per cinque giorni alla settimana egli viveva con la mamma nel Canton __________ a __________, affrontando quotidianamente la trasferta a __________, ma quando andava a trovare i due figli egli spesso pernottava da loro e quindi usufruiva dell'ospitalità dell'insorgente soltanto di rado, visto che rientrava in Cantone Ticino un paio di fine settimana al mese. Infine, occorre ricordare che __________ aveva una compagna, poi divenuta sua moglie nel dicembre 2019, che viveva in __________ in un appartamento in affitto su cui ancora oggi egli può contare. 2.8.   Sulla scorta degli elementi emergenti dall’incarto si deve ritenere che il signor __________ disponeva di una residenza abituale nel Cantone di __________, presso l’appartamento della madre, dove risiedeva in corso di settimana per lo svolgimento del proprio lavoro alla __________ di __________. Egli non si è annunciato all’autorità comunale di __________ (__________) informando parallelamente il Comune di __________ e non ha domandato e ottenuto, come invece avrebbe dovuto, alcun permesso di soggiorno fuori cantone per risiedere a __________. A tutti gli effetti il domicilio del teste è rimasto quello del qui ricorrente. Nonostante questo aspetto giuridico, va considerato il fatto – nell’ottica dell’applicazione delle norme relative alla PC interpretate alla luce della giurisprudenza esposta dettagliatamente nelle considerazioni precedenti – che il signor __________ scendeva in Ticino solo un paio di volte al mese e gli capitava di risiedere presso i figli rispettivamente presso la compagna (poi divenuta sua moglie nel dicembre 2019) in un appartamento in __________ (stante le necessità della seconda moglie del teste di rimanere in quella nazione). Questa situazione di fatto, accertata dal Tribunale cantonale delle assicurazioni in particolare mediante l’assunzione a verbale del teste, permette di ritenere che la casa di __________ del ricorrente non fosse occupata, vissuta e goduta dal teste se non in maniera estremamente limitata. Al signor __________ serviva, verosimilmente, in quel periodo, un recapito e un punto di riferimento, osservato come la compagna (in __________), il figlio primogenito (indipendente) e la mamma (per il lavoro) fornivano al signor __________ la disponibilità di spazi abitativi da lui occupati per la maggior parte del tempo nel periodo corrente tra l’ottobre 2019 e il 1° febbraio 2020. La disponibilità di un approdo in Ticino in caso il teste non avesse potuto contare sull’appartamento in __________, rispettivamente sulla possibilità del figlio di ospitarlo, mentre il resto del tempo lo trascorreva tra i cantoni di __________ e __________, non permette di ritenere che la pigione lorda debba essere suddivisa fra due persone, non essendoci stata una convivenza reale. Questa situazione eccezionale e particolare, in se unica, per cui __________, sia per motivi professionali (il lavoro a __________) sia per ragioni familiari (la mamma a __________ e i figli in Ticino) ed ancora per l’aspetto affettivo (la compagna poi moglie in __________), ha vissuto in diversi luoghi e solo di rado presso la casa dell'assicurato durante il periodo d’interesse (ossia ottobre 2019 – febbraio 2020; periodo che fa seguito però a un’effettiva convivenza che ha preceduto l’inizio dell’attività lavorativa a __________ da parte del teste), non consente di concludere per una coabitazione effettiva tale dal dovere suddividere la pigione fra due occupanti, in concreto va considerato che il signor __________ ha risieduto a __________ per pochi (3 o 4) fine settimana. Questa discontinuità e sporadicità della presenza del teste a __________ impone, indipendentemente dal fatto che dal profilo civile, fiscale e politico il signor __________ risultasse all'Ufficio controllo abitanti come formalmente domiciliato presso il ricorrente, a ritenere una sostanziale occupazione dei locali dell'abitazione a __________ da parte di quest'ultimo. Alla luce di queste, particolari e eccezionali circostanze, non è possibile, per i 3 mesi d’interesse (ottobre 2019 – fine gennaio 2020), computare, nel calcolo della PC del ricorrente, la metà del costo dell’abitazione lordo della casa di __________. Per il periodo citato la pigione lorda deve essere computata interamente al ricorrente. 2.9.   Il ricorso deve essere accolto e la decisione impugnata annullata, con rinvio degli atti all'amministrazione per emanare una nuova decisione che consideri integralmente la pigione. Vincente in causa e patrocinato da un legale, l'insorgente ha diritto al riconoscimento di ripetibili (art. 61 lett. g LPGA).</w:t>
      </w:r>
    </w:p>
    <w:p>
      <w:r>
        <w:rPr>
          <w:b/>
        </w:rPr>
        <w:t>E. 3</w:t>
      </w:r>
    </w:p>
    <w:p>
      <w:r>
        <w:t>I ricorrenti si avvalgono pure implicitamente dell' art. 328 cpv. 1 CC secondo cui i parenti in linea ascendente e discendente e i fratelli e le sorelle sono tenuti vicendevolmente a soccorrersi quando senza di ciò fossero per cadere nel bisogno.</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il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 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Ancora di recente,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Nel caso di specie non era dunque data l'eccezione al principio dell'art. 16c OPC-AVS/AI della suddivisione in parti uguali della pigione, perciò la Cassa di compensazione ha correttamente computato la metà della pigione all'assicurata. Nella seguente STF 9C_242/2018 del 21 febbraio 2019 la Cassa di compensazione ha calcolato la pigione in funzione delle persone che occupavano l'abitazione, mentre il Tribunale cantonale delle assicurazioni del Canton San Gallo ha accolto il ricorso dell'assicurata e ha rinviato gli atti alla Cassa affinché chiarisse l'intensità dell'utilizzo dell'appartamento da parte della neonata figlia della ricorrente e, sulla base di ciò, suddividesse la pigione e fissasse il nuovo diritto alle prestazioni complementari. Secondo i giudici cantonali, dipenderebbe esclusivamente dall'intensità dell'uso dell'appartamento se un bambino o un lattante è incluso o meno nella suddivisione della pigione. Il Tribunale federale ha evidenziato che giustamente la Cassa ha sollevato la censura che l'interpretazione dei primi giudici violava la giurisprudenza federale. In effetti, di principio, vivere insieme genera già una suddivisione della pigione. L'età del bambino che vive con la persona che ha diritto alle prestazioni complementari non ha alcuna importanza. Anche un bambino di pochi giorni deve essere preso in considerazione, soprattutto perché occupa già lo spazio abitativo e lo utilizza almeno indirettamente, in particolare la cucina e il bagno. Il fatto che un bambino si muova più intensamente nell'appartamento rispetto a un neonato non porta a una situazione di partenza significativamente diversa e non giustifica un'eccezione al principio della suddivisione della pigione per teste. Il fatto che il bambino che convive abbia eventualmente meno di dodici mesi non può essere paragonato alle circostanze eccezionali riconosciute, come l'obbligo giuridico o morale di vivere insieme o l'utilizzo della maggior parte dell'abitazione da parte di un singolo inquilino. Con ciò decade anche, come ammette la stessa Corte cantonale, un limite di età per la suddivisione della pigione quando c'è il coinvolgimento di bambini piccoli (cfr. consid. 4.1). Per l'Alta Corte, dunque, non v'erano validi motivi per modificare la prassi in vigore. In particolare, non era chiaro fino a che punto non sarebbero state possibili eccezioni al principio della suddivisione della pigione per teste (cfr. consid. 4.2). Il ricorso della Cassa è stato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