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33.2020.13 vom 18. September 2020</w:t>
      </w:r>
    </w:p>
    <w:p>
      <w:r>
        <w:t>TI Tribunale d'appello, 2020-09-18, IT</w:t>
      </w:r>
    </w:p>
    <w:p>
      <w:r>
        <w:rPr>
          <w:b/>
        </w:rPr>
        <w:t xml:space="preserve">Quelle: </w:t>
      </w:r>
      <w:r>
        <w:t>https://mcp.opencaselaw.ch/entscheid/ti_gerichte_33.2020.13</w:t>
      </w:r>
    </w:p>
    <w:p>
      <w:r>
        <w:t>FR: TI_GERICHTE 33.2020.13 du 18 septembre 2020</w:t>
      </w:r>
    </w:p>
    <w:p>
      <w:r>
        <w:t>IT: TI_GERICHTE 33.2020.13 del 18 settembre 2020</w:t>
      </w:r>
    </w:p>
    <w:p>
      <w:pPr>
        <w:pStyle w:val="Heading2"/>
      </w:pPr>
      <w:r>
        <w:t>Regeste</w:t>
      </w:r>
    </w:p>
    <w:p>
      <w:r>
        <w:t>Ordine di restituzione di PC indebitamente percepite.Consumo di capitale non comprovato interamente,perciò la Cassa ha computato una rinuncia di sostanza.Per il TCA,invece,parte del capitale è tuttora esistente,mentre l'altra parte è in parte giustificata.Cassa verificherà pure l'esistenza di debiti</w:t>
      </w:r>
    </w:p>
    <w:p>
      <w:pPr>
        <w:pStyle w:val="Heading2"/>
      </w:pPr>
      <w:r>
        <w:t>Volltext</w:t>
      </w:r>
    </w:p>
    <w:p>
      <w:r>
        <w:t>Tessin Tribunale cantonale delle assicurazioni 18.09.2020 33.2020.13 Tessin Tribunale cantonale delle assicurazioni 18.09.2020 33.2020.13 Ticino Tribunale cantonale delle assicurazioni 18.09.2020 33.2020.13</w:t>
      </w:r>
    </w:p>
    <w:p>
      <w:r>
        <w:t>Ordine di restituzione di PC indebitamente percepite.Consumo di capitale non comprovato interamente,perciò la Cassa ha computato una rinuncia di sostanza.Per il TCA,invece,parte del capitale è tuttora esistente,mentre l'altra parte è in parte giustificata.Cassa verificherà pure l'esistenza di debiti</w:t>
      </w:r>
    </w:p>
    <w:p>
      <w:r>
        <w:t>Raccomandata Incarto n. 33.2020.13 TB Lugano 18 settembre 2020 In nome della Repubblica e Cantone Ticino Il giudice delegato del Tribunale cantonale delle assicurazioni Giudice Ivano Ranzanici con redattrice: Tanja Balmelli , vicecancelliera segretario: Gianluca Menghetti statuendo sul ricorso del 22 maggio 2020 di RI 1 rappr. da:  RA 1 contro la decisione su opposizione del 23 aprile 2020 emanata da Cassa cantonale di compensazione - Ufficio delle prestazioni, 6501 Bellinzona in materia di prestazioni complementari ritenuto in fatto A.   Nell'ambito di una revisione periodica avvenuta nel mese di giugno 2018 (doc. 38), dalla notifica di tassazione IC/IFD 2017 (doc. 37) di RI 1, 1956, beneficiario di prestazioni complementari all'AI, è emersa una sostanza di Fr. 80'000.- e il 4 luglio 2018 (doc. 40) la Cassa cantonale di compensazione ha chiesto all'assicurato di documentare a cosa corrispondeva tale importo. Il 12 luglio 2018 (doc. 41) l'assicurato ha precisato di avere ritirato questo ammontare dal secondo pilastro e di averlo utilizzato per fare fronte, elencandole, a diverse spese e debiti, tanto che al 1° gennaio 2018 disponeva di Fr. 20'000.-. La settimana seguente (doc. 44) l'amministrazione gli ha chiesto di documentare l'avvenuto accredito bancario del versamento del capitale di Fr. 87'884,95 e di produrre le fatture e altri documenti che comprovassero il consumo di capitale passato dagli Fr. 87'884,95 il 14 marzo 2016 ai Fr. 20'085,80 il 31 dicembre 2017. B.   Esaminate le pezze giustificative prodotte dall'assicurato (docc. 45-66), con decisione del 16 luglio 2019 (doc. 79) la Cassa cantonale di compensazione ha ricalcolato il diritto alle prestazioni complementari di RI 1 dal 1° aprile 2016 all'anno 2019 e, avendo riscontrato il versamento di prestazioni in eccesso, ne ha richiesto la restituzione nella misura di Fr. 1'802.- per il periodo dal 1° aprile 2016 al 31 dicembre 2018. C.   All'opposizione dell'assicurato dell'11 agosto 2019 (doc. 81) la Cassa ha risposto chiedendogli di giustificare una serie di prelevamenti di denaro avvenuti tra il 2016 e il 2018 e facendo notare che le fatture trasmesse documentavano unicamente una spesa totale di Fr. 8'615,67. Le ulteriori pezze giustificative non sono state ritenute come comprovanti i prelevamenti, perciò la Cassa ha dato modo all'interessato di procedere in tal senso (doc. 89). Il 27 febbraio 2020 (doc. 94) egli ha spiegato più nel dettaglio le spese che ha sostenuto negli anni, osservando che la rendita AI non gli permette di affrontare tutte le spese correnti tanto che i figli ogni tanto devono aiutarlo economicamente, ciò che rende impossibile la restituzione dell'importo preteso di cui ne ha chiesto l'annullamento. D.   Con decisione su opposizione del 23 aprile 2020 (doc. A) la Cassa cantonale di compensazione ha confermato l'importo da restituire a seguito del computo della rinuncia di sostanza di Fr. 65'089.- nel 2016, di Fr. 55'089.- nel 2018 e di Fr. 45'089.- nel 2019, corrispondente al consumo di capitale non giustificato. L'amministrazione ha ricordato che le rinunce a beni mobili o immobili non sono per principio ammesse, fatto salvo che sia comprovato che vi sia stata una valida controprestazione o un obbligo giuridico. In concreto, il capitale di libero passaggio di Fr. 87'884,95 incassato il 14 marzo 2016 è stato eroso nell'arco di 10 giorni e l'assicurato non ha saputo giustificarne l'utilizzo. Infatti, le pezze giustificative prodotte attestavano un consumo di capitale di soli Fr. 8'611,45, perciò la Cassa ha computato a titolo di rinuncia di sostanza l'importo di Fr. 65'089,33 per l'anno 2016 e l'ha ridotto annualmente di Fr. 10'000.- per tenere conto dell'ammortamento (art. 17a OPC-AVS/AI). I giustificativi che l'assicurato le ha trasmesso con l'opposizione erano già stati considerati nella fase istruttoria e in seguito l'interessato ha indicato di non avere altra documentazione a supporto. E.   Il 22 maggio 2020 (doc. I) RI 1, rappresentato dal figlio RA 1, si è rivolto al Tribunale per contestare la decisione della Cassa cantonale di compensazione. Ottenuta dal giudice delegato una proroga per produrre le pezze giustificative originali che aveva prodotto alla Cassa (doc. II), il 5 giugno 2020 (doc. III) il ricorrente ha spiegato che, essendo stato in assistenza e avendo contratto dei debiti, il 14 marzo 2016 ha prelevato l'importo di Fr. 87'884,95 dal suo II pilastro, versando poco meno della metà alla moglie (Fr. 40'000.-). Dalla restante metà presente sul suo conto, egli ha prelevato nell'arco degli anni 2016, 2017 e 2018 la somma di Fr. 33'000.- a causa dei suoi pregressi debiti e per vivere una vita normale, visto che la rendita di invalidità che percepiva in quel periodo limitava il suo tenore di vita in modo eccessivo. L'assicurato ha poi giustificato le spese che ha affrontato negli anni, ammontanti complessivamente in Fr. 41'500.- circa, apportando le relative pezze giustificative (docc. C1-C42): nuovo arredamento dopo 20 anni (Fr. 7'049,75), deposito di garanzia affitto per il nuovo appartamento (Fr. 2'260.-), nuova automobile (Fr. 10'000.-), spese legali per diverse procedure (Fr. 1'000.-), imposte speciali per il ritiro anticipato del II pilastro (Fr. 3'700.-), conguagli spese accessorie non coperte dalle PC (Fr. 5'822.-), assicurazione economia domestica (Fr. 1'043.-), imposte comunali (Fr. 280.-), occhiali da vista (Fr. 680.-), parcheggio in zona blu (Fr. 6'998.-), varie fatture inerenti l'acquisto di accessori domestici (Fr. 2'560.-). Tutti questi costi superano di gran lunga l'importo di Fr. 8'615,67 ritenuto dalla Cassa e, ciò nonostante, essa gli ha richiesto il rimborso di Fr. 1'802.-, ammontare che egli non è assolutamente in grado di pagare. Infine, l'assicurato ha evidenziato di farsi mensilmente carico di altre spese (elettricità, vestiti, cassa malati, sigarette, ecc.) che sono più elevate rispetto a quanto riceve. F.   Il 20 agosto 2020 (doc. VII) la Cassa di compensazione ha risposto che non tutte le fatture presentate si riferiscono al periodo in oggetto e ha chiesto al TCA di respingere il ricorso. G.   Il ricorrente non ha prodotto nuovi mezzi di prova (doc. VIII). considerato in diritto in ordine 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in particolare consid. 5.2, 5.3 e 6.1; STF 8C_452/2011 del 12 marzo 2012; STF 8C_855/2010 dell'11 luglio 2011; STF 9C_211/2010 del 18 febbraio 2011, consid. 2.1). nel merito 2.   Oggetto del contendere è la verifica della correttezza dell'ordine di restituzione emesso dalla Cassa cantonale di compensazione nei confronti del ricorrente per le prestazioni complementari percepite apparentemente indebitamente dal 1° aprile 2016 al 31 dicembre 2018, che ha calcolato essere pari a Fr. 1'802.-. 3. L'art. 25 cpv. 1 LPGA stabilisce che le prestazioni indebitamente riscosse devono essere restituite. 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3 cpv. 1 OPGA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5. In specie, con decisione formale del 16 luglio 2019 (doc. VII/3) la Cassa di compensazione ha stabilito il nuovo diritto del ricorrente alle prestazioni complementari dal 1° aprile 2016 all'anno 2019, così come risulta dai fogli di calcolo allegati. Concretamente, la Cassa di compensazione ha ritenuto che dal 1° aprile 2016 l'interessato aveva diritto alle PC in misura inferiore rispetto a quanto deciso in precedenza. Constatato quindi un indebito riconoscimento di prestazioni giusta l'art. 25 cpv. 1 1a frase LPGA, gli ha chiesto la restituzione della somma di Fr. 1'802.- erroneamente versata da quel momento fino al 31 dicembre 2018, corrispondente alla differenza fra le PC incassate in quel periodo e le prestazioni complementari di diritto nel medesimo lasso di tempo. Quale motivazione per questa nuova decisione la Cassa ha indicato: " Decisione emessa su revisione con la presa di conoscenza del prelevamento del capitale da parte di __________ e con il computo del consumo di capitale non comprovato. ". La restituzione di prestazioni complementari si imporrebbe quindi a seguito della scoperta che l'assicurato ha prelevato in anticipo il II pilastro e che del capitale di Fr. 87'884,95 accreditatogli il 14 marzo 2016 ne è rimasto Fr. 20'085,80 al 31 dicembre 2017. Non essendo egli riuscito a comprovarne il consumo, la Cassa ha computato una rinuncia di sostanza di Fr. 65'089.- nel 2016. Questo fatto, che farebbe aumentare le sue entrate e quindi diminuire la differenza fra le spese riconosciute e i redditi computabili (eccedenza di spese), ha comportato che egli avrebbe illecitamente beneficiato di prestazioni complementari maggiori di quanto in realtà di sua spettanza nel lasso di tempo dal 1° aprile 2016 al 31 dicembre 2018. 6.   Fondandosi sull'art. 112 cpv. 2 lett. b Cost. fed. e sulla Disp. Trans. all 'art. 112 Cost. fed., l'Assemblea federale ha adottato il nuovo art. 112 a Cost. fed. specifico per le prestazioni complementari e il nuovo art. 112 c Cost. fed. relativo all'aiuto agli anziani e ai disabili, in vigore dal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DTF 113 V 280 (285), RCC 1991 pag. 143 (145), RCC 1989 pag. 606, RCC 1986 pag. 143; Cattaneo , Reddito minimo garantito: prossimo obiettivo della sicurezza sociale, in: RDAT 1991-II pagg. 447 segg.,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7.   In virtù dell'art. 4 cpv. 1 lett. c LPC, le persone domiciliate e dimoranti abitualmente in Svizzera hanno diritto a una rendita dell'assicurazione invalidità. L'importo della prestazione complementare annua è pari alla quota delle spese riconosciute che eccede i redditi computabili (art. 9 cpv. 1 LPC). Per quanto qui di rilevanza, va segnalato che l'art. 10 LPC prevede una lista esaustiva di spese riconosciute e l'art. 11 LPC enumera esaustivamente i redditi computabili/non computabili. Fra quelli computabili (cpv. 1), in particolare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8.   Nella decisione impugnata, la Cassa di compensazione ha computato all'insorgente la somma di Fr. 65'089.- a titolo di rinuncia di sostanza al 1° aprile 2016, di Fr. 65'089.- al 1° gennaio 2017, di Fr. 55'089.- al 1° gennaio 2018 e di Fr. 45'089.- al 1° gennaio 2019 (docc. 73-77), poiché le rinunce di beni mobili o immobili non sono ammesse, fatto salvo il caso in cui vi sia una controprestazione adeguata o un obbligo legale, circostanze che essa ha qui ritenute date soltanto parzialmente. Il ricorrente sostiene, invece, come attestano le numerose fatture prodotte, di avere fatto fronte a diverse spese e debiti con la metà della somma di Fr. 87'884,95 che ha ritirato dal suo conto di libero passaggio. L'altra metà l'ha invece subito versata sul conto della moglie, importo tuttora presente, perciò non capisce per quale motivo l'amministrazione abbia computato una rinuncia di sostanza senza controprestazione adeguata. 9.   Va evidenziato come la LPC stabilisca un principio cardine per cui, ai fini del calcolo della prestazione complementare, sono considerati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In questi casi, la giurisprudenza (RDAT I 1994 pag. 189 consid. 3a) considera che vi è una rinuncia (di sostanza e/o di reddito) ai sensi dell'art. 11 cpv. 1 lett. g LPC (art. 3c cpv. 1 lett. g vLPC). Lo scopo dell'art. 11 cpv. 1 lett. g 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LPC (dal 1° gennaio 2008)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(STF 9C_688/2019 del 30 giugno 2020 destinata a pubblicazione; DTF 115 V 353 consid. 5c; Pratique VSI 1995 pag. 173 consid. 2b; Carigiet/Koch , Ergänzungsleistungen zur AHV/IV, 2a ed. 2009, pag. 173).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ma queste due condizioni non sono da intendere cumulativamente, bensì alternativamente (SVR 2006 EL Nr. 2). Secondo l'allora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La Massima Istanza ha pure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Quale rinuncia di reddito ai sensi dell'art. 11 cpv. 1 lett. g LPC, la dottrina ( Erwin Carigiet/Uwe Koch , Ergänzungsleistungen zur AHV/IV, 2a ed. 2009,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Nel calcolo delle PC, i proventi e i beni cui si è rinunciato sono computati allo stesso modo di quelli cui non si è rinunciato (N. 3481.01 DPC, Direttive sulle prestazioni complementari all'AVS/AI edite dall'UFAS, valide dal 1° aprile 2011, stato 1° gennaio 2019).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Il sistema delle prestazioni complementari si basa sui mezzi effettivamente disponibili e non ci si deve domandare se il richiedente le PC ha vissuto in passato entro i limiti della normalità (" controllo dello stile di vita ", STF 9C_688/ 2019 del 30 giugno 2020 destinata a pubblicazione;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10.   Nel caso di specie, è pacifico che l'assicurato ha sciolto l'11 marzo 2016 (doc. 65) la polizza di libero passaggio e che il 14 marzo 2016 (doc. C1) __________ ha accreditato sul suo conto bancario l'importo di Fr. 87'884,95. Come risulta chiaramente dall'estratto conto al 31 dicembre 2016 del suo conto privato __________ (doc. C1), il 23 marzo 2016 l'assicurato ha effettuato due bonifici di Fr. 40'000.- ciascuno. Il primo è stato effettuato sul conto risparmio __________ della moglie (doc. 63), il secondo sul suo conto risparmio __________. A fine anno 2016, il conto risparmio dell'assicurato esponeva un attivo di Fr. 35'044,30, mentre quello della moglie di Fr. 45'554,45. Dagli attestati bancari risulta inoltre che al 31 dicembre 2017 il saldo del conto privato del ricorrente ammontava a Fr. 410,43 (doc. 34) e quello del conto risparmio a Fr. 20'085,80 (doc. 33). Questi conti presentavano poi al 31 dicembre 2018 (doc. 83) un saldo positivo di Fr. 49,63 (conto privato) rispettivamente di Fr. 4'095,39 (conto risparmio). Il conto risparmio della moglie aveva invece un saldo attivo di Fr. 48'106,90 (doc. 84). 11.   Il TCA evidenzia in primo luogo che la Cassa ha omesso di considerare che l'assicurato ha subito riversato il capitale che ha incassato, bonificandolo sia sul suo conto risparmio in ragione di Fr. 40'000.- sia sul conto risparmio della moglie nella stessa misura di Fr. 40'000.-. Questa circostanza risulta chiaramente dall'estratto conto che l'assicurato ha prodotto all'amministrazione nell'estate 2018 (doc. 65). La Cassa di compensazione non ha considerato che la metà della prestazione di libero passaggio non è stata consumata come tale. Pertanto, non è corretto affermare che il " capitale nel corso di 10 giorni (23 marzo 2016), si è totalmente eroso " (doc. A punto 1 in fine), giacché esso è invece stato trasferito su altri conti, intestati all'assicurato medesimo o a sua moglie. La parte del capitale di libero passaggio che è stata bonificata al coniuge era ancora presente il 31 dicembre 2018 sul conto risparmio di __________ - benché ciò non risulti dalla notifica di tassazione IC/IFD 2018 (doc. 80) su cui la Cassa cantonale di compensazione si è verosimilmente fondata per determinare l'ammontare della sostanza dell'assicurato. Già solo per questo motivo, la decisione impugnata deve essere annullata e gli atti rinviati alla Cassa per ulteriori accertamenti sulla destinazione effettiva della sua quota parte di II pilastro. 12.   Per quanto attiene le giustificazioni di spese è certamente vero che alcune delle pezze giustificative che il ricorrente ha prodotto si riferiscono ad anni precedenti l'incasso della prestazione di libero passaggio e quindi forzatamente non sono atte a comprovare il consumo del capitale accreditatogli il 14/23 marzo 2016, tuttavia altre riguardano il periodo in questione. Va qui osservato che, fra i numerosi scontrini prodotti dal ricorrente, ve ne sono diversi relativi ad acquisti effettuati negli anni 2010-2015, come il computer, degli elettrodomestici, le riparazioni dell'automobile, il parcheggio in zona blu, il deposito di garanzia affitto, il dentista, l'avvocato, l'assicurazione mobilia domestica, ecc., che non possono però essere considerati quali consumo del II pilastro, poiché si riferiscono ad anni precedenti l'incasso della prestazione di libero passaggio. Anche le spese relative al 2019 non sono state prese in considerazione, siccome avvenute dopo il 31 dicembre 2018, momento in cui è noto l'ammontare della sostanza rimanente. 13.   Va osservato che dal capitale di Fr. 40'000.- presente sul conto risparmio l'assicurato ha consumato nel corso del 2016 una sostanza di Fr. 5'000.- (doc. 64), durante il 2017 di Fr. 15'000.- (doc. 64) e nell'anno 2018 di Fr. 16'000.- (doc. 83), rimanendo al 31 dicembre 2018 un saldo di poco più di Fr. 4'000.-. Dal conto risparmio della moglie sono stati prelevati Fr. 5'000.- il 7 luglio 2016, cosicché al 31 dicembre 2016 esso presentava un saldo di Fr. 45'554,45 e al 31 dicembre 2018 di Fr. 48'106,90. Apparentemente sembrano giustificate le spese della famiglia (anni 2016-2018) per il mobilio (doc. C4: Fr. 3'030.-), l'imposta federale, cantonale e comunale speciale 2016 per la liquidazione in capitale della previdenza professionale (docc. C5-C7: Fr. 1'756 + Fr. 1'668,20 + Fr. 276), i conguagli delle spese accessorie per gli anni 2015-2017 (docc. C9, C10 e C15: Fr. 834,05 + Fr. 847,10 + Fr. 597,55), l'assicurazione economia domestica (docc. C16-C18: Fr. 181 + Fr. 159,70 + Fr. 162,50) e altre, su tutte però è necessario che l’amministrazione svolga le opportune verifiche. Alla Cassa cantonale di compensazione cui gli atti devono essere rinviati spetta il compito di verificare l’effettività di dette spese e, soprattutto quelle relative al pagamento della nuova autovettura, che il ricorrente ha cifrato in circa Fr. 10'000.-. Inoltre, l'amministrazione dovrà accertare l'esistenza dei debiti che il ricorrente ha sostenuto di avere rimborsato con parte del capitale del II pilastro, considerando che, prima di ottenere la rendita, l’assicurato ha sopportato spese che potrebbero essere state finanziate da terzi. 14.   Una volta stabilita con verosimiglianza preponderante la destinazione degli averi del II pilastro del ricorrente dal 2016 al 2018, l'amministrazione dovrà esaminare se vi sono i presupposti giuridici per concludere che vi sia stata una rinuncia di sostanza ai sensi dell'art. 11 cpv. 1 lett. g LPC ed emanerà la nuova decisione. L'amministrazione verificherà, inoltre, stante il certificato medico del 14 marzo 2018 (doc. 92) della dr.ssa med. __________ se, alla luce della comunicazione che dal mese di ottobre 2017 la terzogenita non abitava più con i genitori, il calcolo della pigione sia stato effettuato correttamente (art. 16a OPC-AVS/AI). Infine va ricordato al ricorrente che i conguagli delle spese di locazione non sono rimborsati, mentre lo sono gli acconti pagati mensilmente siccome rientranti nelle spese riconosciute dall'art. 10 cpv. 1 lett. b LPC. A differenza degli acconti delle spese accessorie, che vanno quindi computati nel suo calcolo delle PC, i conguagli, non appartenendo alle spese accessorie, sono infatti esclusi dalla pigione lorda (STCA 33.2011.8 del 20 settembre 2011). 15.   Sulla scorta delle considerazioni esposte, la decisione impugnata deve essere annullata con il rinvio degli atti alla Cassa per dare seguito a quanto indicato nei considerandi precedenti e all'emanazione di una nuova decisione. Parzialmente vincente in causa, ma non patrocinato da un legale, l'assicurato non ha diritto a ripetibili (art. 61 lett. g LPGA). Per questi motivi dichiara e pronuncia 1.   Il ricorso è parzialmente accolto . §   La decisione impugnata è annullata e gli atti sono rinviati alla Cassa cantonale di compensazione, affinché proceda agli accertamenti e alle verifiche indicate nelle considerazioni precedenti ed emani una nuova decisione. 2.   Non si percepisce tassa di giustizia, mentre le spese sono poste a carico dello Stato. Non si attribuiscono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di Camera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