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 vom 9. März 2020</w:t>
      </w:r>
    </w:p>
    <w:p>
      <w:r>
        <w:t>TI Tribunale d'appello, 2020-03-09, IT</w:t>
      </w:r>
    </w:p>
    <w:p>
      <w:r>
        <w:rPr>
          <w:b/>
        </w:rPr>
        <w:t xml:space="preserve">Quelle: </w:t>
      </w:r>
      <w:r>
        <w:t>https://mcp.opencaselaw.ch/entscheid/ti_gerichte_33.2020.1</w:t>
      </w:r>
    </w:p>
    <w:p>
      <w:r>
        <w:t>FR: TI_GERICHTE 33.2020.1 du 9 mars 2020</w:t>
      </w:r>
    </w:p>
    <w:p>
      <w:r>
        <w:t>IT: TI_GERICHTE 33.2020.1 del 9 marzo 2020</w:t>
      </w:r>
    </w:p>
    <w:p>
      <w:pPr>
        <w:pStyle w:val="Heading2"/>
      </w:pPr>
      <w:r>
        <w:t>Regeste</w:t>
      </w:r>
    </w:p>
    <w:p>
      <w:r>
        <w:t>Prestazioni complementari. Sostanza non dichiarata negli anni. Emersione della proprietà fondiaria nascosta esistente all'estero. Ricalcolo restituzione</w:t>
      </w:r>
    </w:p>
    <w:p>
      <w:pPr>
        <w:pStyle w:val="Heading2"/>
      </w:pPr>
      <w:r>
        <w:t>Erwägungen</w:t>
      </w:r>
    </w:p>
    <w:p>
      <w:r>
        <w:rPr>
          <w:b/>
        </w:rPr>
        <w:t>E. 31</w:t>
      </w:r>
    </w:p>
    <w:p>
      <w:r>
        <w:t>cpv. 2 LPGA, qualsiasi persona o servizio che partecipa all'esecuzione delle assicurazioni sociali ha l'obbligo di informare l'assicuratore se apprende che le condizioni determinanti per l'erogazione di prestazioni hanno subìto modifiche.</w:t>
      </w:r>
    </w:p>
    <w:p>
      <w:r>
        <w:t>Per quanto concerne specificatamente l'obbligo di informare nelle PC, l'art. 24 OPC-AVS/AI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w:t>
      </w:r>
    </w:p>
    <w:p>
      <w:r>
        <w:t>L'art. 25 cpv. 1 LPGA stabilisce che le prestazioni indebitamente riscosse devono essere restituite. La restituzione non deve essere chiesta se l'interessato era in buona fede e verrebbe a trovarsi in gravi difficoltà.</w:t>
      </w:r>
    </w:p>
    <w:p>
      <w:r>
        <w:t>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w:t>
      </w:r>
    </w:p>
    <w:p>
      <w:r>
        <w:t>L'art. 3 cpv. 1 OPGA prevede che l'ammontare della restituzione è stabilito mediante decisione.</w:t>
      </w:r>
    </w:p>
    <w:p>
      <w:r>
        <w:t>Nella STF 9C_795/2009 del 21 giugno 2010 (SVR 2010 EL Nr. 12), dall'analisi letterale del testo il Tribunale federale ha stabilito che il fatto in questione è rappresentato dalla riscossione indebita di prestazioni cui allude il capoverso 1 della norma (cfr. consid. 4.1),perciò il termine di perenzione per la pretesa di restituzione non può cominciare a decorrere prima che le prestazioni in lite siano state decise e versate (cfr. consid. 4.2).</w:t>
      </w:r>
    </w:p>
    <w:p>
      <w:r>
        <w:t>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w:t>
      </w:r>
    </w:p>
    <w:p>
      <w:r>
        <w:t>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w:t>
      </w:r>
    </w:p>
    <w:p>
      <w:r>
        <w:t>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w:t>
      </w:r>
    </w:p>
    <w:p>
      <w:r>
        <w:t>Per quanto concerne inuovi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w:t>
      </w:r>
    </w:p>
    <w:p>
      <w:r>
        <w:t>L'amministrazione puòriconsiderare una decisione passata formalmente in giudicatoe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a livello cantonale si veda, da ultimo, la STCA 33.2019.18 del 12 febbraio 2020).</w:t>
      </w:r>
    </w:p>
    <w:p>
      <w:r>
        <w:t>Secondo la giurisprudenza (STF 9C_862/2010 del 18 gennaio 2012; STF 9C_1061/2010 del 7 luglio 2011, consid. 6.1), la riconsiderazione non è tuttavia ammissibile se la decisione è stata oggetto di controllo giudiziale nel merito (DTF 127 V 466 consid. 2c). 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w:t>
      </w:r>
    </w:p>
    <w:p>
      <w:r>
        <w:t>Per quanto le spese riconosciute le stesse sono determinate conformemente all'art. 10 cpv. 1 LPC. In particolare, giusta l'art. 10 cpv. 3 LPC, sia per le persone che vivono in casa che per quelle che non vivono durevolmente o per un lungo periodo in un istituto o in un ospedale, sono riconosciute le spese seguenti:</w:t>
      </w:r>
    </w:p>
    <w:p>
      <w:r>
        <w:t>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