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33.2019.22 vom 27. April 2020</w:t>
      </w:r>
    </w:p>
    <w:p>
      <w:r>
        <w:t>TI Tribunale d'appello, 2020-04-27, IT</w:t>
      </w:r>
    </w:p>
    <w:p>
      <w:r>
        <w:rPr>
          <w:b/>
        </w:rPr>
        <w:t xml:space="preserve">Quelle: </w:t>
      </w:r>
      <w:r>
        <w:t>https://mcp.opencaselaw.ch/entscheid/ti_gerichte_33.2019.22</w:t>
      </w:r>
    </w:p>
    <w:p>
      <w:r>
        <w:t>FR: TI_GERICHTE 33.2019.22 du 27 avril 2020</w:t>
      </w:r>
    </w:p>
    <w:p>
      <w:r>
        <w:t>IT: TI_GERICHTE 33.2019.22 del 27 aprile 2020</w:t>
      </w:r>
    </w:p>
    <w:p>
      <w:pPr>
        <w:pStyle w:val="Heading2"/>
      </w:pPr>
      <w:r>
        <w:t>Erwägungen</w:t>
      </w:r>
    </w:p>
    <w:p>
      <w:r>
        <w:rPr>
          <w:b/>
        </w:rPr>
        <w:t>E. 25</w:t>
      </w:r>
    </w:p>
    <w:p>
      <w:r>
        <w:t>cpv. 1 LPGA stabilisce che le prestazioni indebitamente riscosse devono essere restituite. 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(v. consid. 4.1), perciò il termine di perenzione per la pretesa di restituzione non può cominciare a decorrere prima che le prestazioni in lite siano state decise e versate (v.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Nel caso concreto, con decisione formale del 22 gennaio 2019 (doc. III/3), la Cassa di compensazione ha stabilito il nuovo diritto della ricorrente alle prestazioni complementari dal 1° ottobre 2015 all'anno 2019, così come risulta dai fogli di calcolo allegati. Concretamente, la Cassa di compensazione ha stabilito che dal 1° ottobre 2015 l'interessata aveva diritto alle PC in misura inferiore rispetto a quanto deciso in precedenza. Constatato quindi un indebito riconoscimento di prestazioni giusta l'art. 25 cpv. 1 1a frase LPGA, le ha chiesto la restituzione della somma di CHF 13'519 erroneamente versata da quel momento fino al 31 gennaio 2019, corrispondente alla differenza fra le PC incassate in quel periodo e le prestazioni complementari di diritto nel medesimo lasso di tempo. A fondamento della nuova decisione la Cassa ha indicato la mancata tempestiva informazione relativa all’ " (…) arrivo di tre persone presso la sua economia domestica ". La restituzione di prestazioni complementari si imporrebbe quindi a seguito della scoperta che l'assicurata condivideva la sua abitazione con terze persone. Questo fatto, che farebbe diminuire il suo fabbisogno dovendo suddividere la pigione su più persone, ha comportato che ella avrebbe illecitamente beneficiato di prestazioni complementari maggiori di quanto in realtà di sua spettanza nel lasso di tempo dal 1° ottobre 2015 al 31 gennaio 2019.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a LPC, le persone domiciliate e dimoranti abitualmente in Svizzera hanno diritto alle prestazioni complementari se hanno diritto a una rendita vedovile dell'AVS. L'importo della prestazione complementare annua è pari alla quota delle spese riconosciute che eccede i redditi computabili (art. 9 cpv. 1 LPC). Per quanto qui di rilevanza, va segnalato che per le spese riconosciute l'art. 10 cpv. 1 LPC prevede in particolare che: " Per le persone che non vivono durevolmente o per un lungo periodo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13 200 franchi per le persone sole," e che l'art. 11 cpv. 1 LPC enumera esaustivamente i redditi computabili, fra i quali vi sono: " a.   due terzi dei proventi in denaro o in natura dall'esercizio di un'attività lucrativa per quanto superino annualmente 1000 franchi per le persone sole (…); d.   le rendite, le pensioni e le altre prestazioni periodiche, comprese le rendite dell'AVS e dell'AI; ". 2.7.   Per il computo della pigione la Cassa di compensazione ha considerato che l'assicurata condivideva l'abitazione con altre persone che non avevano diritto alle prestazioni complementari, perciò ha ritenuto nel fabbisogno dell'assicurata soltanto un quarto (dal 1° ottobre 2015 al 31 marzo 2018) rispettivamente un quinto (dal 1° aprile 2018 in poi) della pigione lorda pagata dall'assicurata. La ricorrente ha contestato questo aspetto, affermando di avere avuto un obbligo giuridico di occuparsi del figlio che era studente e quindi che non era in grado di mantenersi economicamente.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sentenza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che devono essere riconosciute e ammesse con riserbo e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analizzato dal TF nella sentenza DTF 105 V 272, l’Alta Corte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Per il Tribunale federale,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TF, chiamato a statuire sulla deduzione della pigione nel caso di una vedova a beneficio della PC che viveva insieme a una figlia minorenne proveniente da una relazione extraconiugale, ha rilevato quanto segue: " 2.-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hierzu in der Lage ist und über eigenes Einkommen oder Vermögen verfügt. So verhält es sich hier unbestrittener massen jedoch nicht. (…)" . Il TFA ha ribadito questi concetti con sentenza del 9 gennaio 2003 (P 76/01) in un caso di convivenza con figlio maggiorenne: " (…)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il Tribunale federale ha confermato che la partecipazione della figlia alle spese di pigione doveva essere stabilita, considerate le circostanze del caso, in un quarto (v.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la ripartizione della pigione deve avvenire in uguali parti, non va applicata quando in un'abitazione coabitano degli adulti e dei bambini piccoli. È infatti soltanto il fabbisogno vitale che è, per legge, distinto fra adulti e bambini, mentre alcuna distinzione è prevista in ambito di suddivisione della pigione. Più recentemente, con la sentenza pubblicata in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l'Alta Corte ha adottato il principio della suddivisione in parti uguali della pigione quando v'è una condivisione con persone non incluse nel calcolo delle PC anche nel caso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In quel caso l'eccezione al principio dell'art. 16c OPC-AVS/AI non è stata ammessa. La giurisprudenza cantonale resa dal TCA è ricca di casi. Con STCA 33.2001.82 del 14 giugno 2002 è stata ammessa la divisione per due della pigione in un altro caso di convivenza tra madre e figlia e nella STCA del 7 gennaio 2003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quando era stata assunta come lavoratrice salariata.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del 9 febbraio 2018 il TCA si è chinato il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Non v'era dunque né un obbligo giuridico né un obbligo morale di mantenimento da parte del ricorrente nei confronti della figlia della sua ex moglie. Nella STCA 33.2018.4 del 16 luglio 2018 il TCA ha confermato la suddivisione a metà della pigione lorda pagata da un assicurato che condivideva l'abitazione con la sua badante, alla quale veniva detratto dallo stipendio il vitto e l'alloggio. Trattandosi quindi di una convivenza onerosa e non a titolo gratuito, non si poteva invocare l'eccezione alla suddivisione paritaria . Il 14 agosto 2018 (STCA 33.2018.6) la scrivente Corte si è pronunciata sul caso di una mamma che inizialmente conviveva con la figlia, la quale, poi, si è sposata e ha avuto due figli. Pertanto, sotto lo stesso tetto abitavano la ricorrente, la figlia con il marito e i loro due figli rispettivamente nipotini dell'assicurata. Non è stata menzionata né comprovata una particolare suddivisione dei locali né tanto meno che la vita in comune si fondava su un obbligo morale o giuridico, quale un obbligo di mantenimento del diritto civile giusta l'art. 276 CC e l'art. 277 CC e nemmeno un obbligo di assistenza tra parenti dell'art. 328 CC. I motivi economici alla base della convivenza non erano sufficienti per ammettere l'eccezione alla suddivisione per teste della pigione. Nel caso deciso il 7 gennaio 2019 (STCA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Più di recente, con la STCA 33.2019.18 del 12 febbraio 2020, è stato giudicato il caso (simile alla STCA 33.2017.4) in cui il ricorrente ha ospitato in casa propria il figlio della sua (ex) moglie. Secondo l'assicurato, sebbene fosse maggiorenne (1991), anche una volta portati a termine gli studi il ragazzo non era in grado di mantenersi da solo, perciò egli ha sentito un dovere morale di mantenerlo e di prendersi cura di lui dandogli vitto e alloggio gratuiti. Il TCA ha evidenziato che il figlio di primo letto di sua moglie non era, dal profilo giuridico, suo figlio e che, pertanto, l'insorgente non aveva alcun obbligo giuridico di mantenimento nei suoi confronti dal profilo civile. Inoltre, benché l'assicurato si sia occupato del mantenimento del ragazzo, non poteva avvalersi delle eccezioni al principio della ripartizione del canone di locazione su tutti i coabitanti. In effetti, in quanto maggiorenne, non beneficiario di una rendita, e oltretutto non essendo suo figlio, il giovane non era in alcun modo compreso nel calcolo della prestazione complementare del ricorrente. Nemmeno era possibile sostenere che il figlio della moglie si prendesse cura dell'insorgente ma, semmai, era il contrario. 2.8.   Nell'evenienza concreta è indubbio, e la circostanza è riconosciuta pacificamente dalla ricorrente, che da tempo essa condivide la sua abitazione con altre persone. Nell'opposizione del 22 febbraio 2019 (doc. III/2) l'assicurata ha affermato che i suoi due figli, __________ (1988) e __________ (1991), " hanno sempre vissuto con la madre senza aver mai cambiato casa " (pag. 6) e nelle osservazioni del 12 marzo 2019 ha evidenziato che " gli stessi vivono con la madre dalla nascita " (pag. 3). Dagli atti risulta una prima dichiarazione dell'Ufficio controllo abitanti del Comune di __________, rilasciata il 12 settembre 2018 (doc. 120), in cui è indicato che l'assicurata abita in Via __________ dal 1° ottobre 2005. Con essa convivono il figlio __________, nato nel 1988, coniugato dal __________ ottobre 2015 e sua moglie __________, 1991, l'altro figlio __________, nato nel 1991 e domiciliato dal 1° ottobre 2015 e infine la neonata __________, figlia dei due coniugi, dal __________ marzo 2018. Il TCA osserva come questa dichiarazione non sia chiara, visto che per alcune persone indica la data di domiciliazione, mentre per altre la data del matrimonio. Inoltre, la data a partire dalla quale __________ abita in via __________ non appare corretta in base ai fatti e alla successiva dichiarazione. In effetti, il 20 febbraio 2019 (doc. 185) l'Ufficio controllo abitanti di __________ ha rilasciato un'altra attestazione secondo cui RI 1 è domiciliata in via __________ dal 28 maggio 1995 così come il figlio __________, mentre per __________ non è indicata alcuna data. La moglie di __________ vi è domiciliata dal 3 settembre 2015 e la loro figlia dalla nascita. In un'ulteriore dichiarazione, richiesta dalla Cassa (doc. 233), il medesimo Ufficio ha attestato che "RI 1 vive unitamente ai figli __________ e __________ in via __________ già a partire dal 1° ottobre 2005. ". Infine, dalla "Stampa dati personali" (doc. 139) effettuata dal Comune di __________ risulta che __________, 1988, è arrivato nel comune il 28 maggio 1995 in provenienza dalla __________ e che è coniugato con __________ dal 7 ottobre 2015. Dalle discordanti dichiarazioni rilasciate dallo stesso ufficio comunale si può ritenere che la ricorrente sia domiciliata in via __________ a __________ dal 28 maggio 1995, così come d'altronde conferma la dichiarazione dell'Ufficio della migrazione del 21 gennaio 2014 (doc. 56) e il figlio __________ risulta anch'egli domiciliato al medesimo indirizzo da quel giorno, provenendo dall'estero. Meno chiara è invece la situazione relativa al figlio __________ che potrebbe egli pure essere domiciliato al medesimo indirizzo dalla medesima data. Determinante ai fini delle prestazioni complementari, e del tema all’esame è che, per certo, dopo il decesso del marito della ricorrente, il nucleo familiare era composto, in occasione della domanda di riesame del 2013 del diritto alle prestazioni complementari, dall'assicurata e dai suoi due figli, circostanza che la ricorrente ha pacificamente riconosciuto. Da quanto precede discende che la pigione computabile doveva essere ripartita fra le singole persone che coabitavano e le parti di pigione delle persone escluse dal calcolo della PC non dovevano essere prese in considerazione nel calcolo della prestazione complementare annua dell'assicurata (art. 16c cpv. 1 OPC-AVS/AI). 2.9.   __________ è nato nel giugno 1988 e, quando nel luglio 2013 è deceduto suo padre, era già venticinquenne e si apprestava a frequentare il terzo semestre (inizio del secondo anno di formazione) del corso di diploma in fisioterapia alla __________, studi della durata di tre anni (doc. 40). Con il compimento dei 25 anni, dal 1° luglio 2013, egli non aveva più diritto alla rendita completiva per figli dell'AI (art. 22ter LAVS in connessione con l'art. 25 cpv. 5 LAVS) precedentemente percepita essendo in formazione. Di conseguenza, nemmeno poteva sorgere, dal 1° agosto 2013, la rendita per orfani agli studi (art. 25 cpv. 4 e cpv. 5 LAVS). Ciò significa che, contrariamente a quanto indicato nel formulario di richiesta delle PC compilato dall'assicurata il 4 settembre 2013, a quel momento __________ non beneficiava più di una rendita completiva per figli. Pertanto, egli era escluso dal calcolo delle prestazioni complementari della mamma e quindi la sua parte di pigione non doveva essere presa in considerazione nel calcolo della prestazione complementare annua dell'assicurata (art. 16c cpv. 1 OPC-AVS/AI). Ne consegue che, di principio, la pigione andava ripartita in parti uguali fra le persone che coabitavano insieme alla ricorrente (art. 16c cpv. 2 OPC-AVS/AI). A questo proposito, l'insorgente ha fatto valere il suo obbligo di mantenimento nei confronti del figlio agli studi, perciò ha chiesto di applicare l'eccezione alla suddivisione in parti uguali e di escludere dal computo della pigione il figlio studente. La censura della ricorrente deve essere analizzata nell’ottica dell'art. 277 cpv. 2 CC. Secondo tale norma infatti,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Per " formazione appropriata " nel senso dell'art. 277 cpv. 2 CC, come spiegato dalla prima Camera Civile del Tribunale d'Appello (I CCA 11.2013.15 del 31 agosto 2015, considerando 6a), si intende una preparazione conforme alle attitudini e alle capacità del soggetto, che consenta a quest'ultimo di rendersi autonomo e di sopperire alle proprie esigenze materiali ( Piotet , in: Commentaire romand, CC I, Basilea 2010, n. 8 ad art. 277 con richiamo a DTF 117 II 372 consid. 5b e altri rinvii). La legge non fissa un limite temporale assoluto all'obbligo di mantenimento. I 25 anni del beneficiario sono solo indicativi (DTF 130 V 237). L'obbligo dura finché la formazione del maggiorenne “ possa normalmente concludersi ” (art. 277 cpv. 2 CC). Determinante non è la durata teorica del ciclo di studi intrapreso, bensì il fatto che il figlio dimostri serietà, diligenza e impegno negli studi (I CCA 11.2011.148 del 24 gennaio 2014, consid. 5 con riferimenti). Nell'evenienza concreta, nell'anno accademico 2013/2014 __________ ha frequentato il secondo anno del Bachelor of Science __________ in fisioterapia, fermo restando la parentesi di servizio militare da metà novembre 2013 ad inizio aprile 2014 (doc. 41) e il 31 marzo 2016 (doc. V/1) ha ottenuto il Bachelor. Come risulta dalla sua dichiarazione di imposta IC/IFD 2016 (docc. 196 e 198), il 1° settembre 2016 il figlio dell'assicurata ha iniziato la sua attività lavorativa come fisioterapista. Nulla è invece dato a sapere in merito a una precedente, completa e adeguata formazione da parte del giovane. In effetti __________, nato nel 1988, ha iniziato la sua formazione presso la __________ nel 2012 quando aveva già 24 anni, età in cui, normalmente, i giovani hanno concluso una formazione, o perlomeno di una prima formazione. In merito al tema della formazione del figlio (in particolare maggiorenne) e del relativo obbligo di mantenimento da parte dei genitori si veda Francesca Ranzanici-Ciresa : L’entretien de l’enfant majeur. In Magister Weblaw VI.24, Berna 2011, edizioni Weblaw. Da quanto precede questa Corte non può ritenere, con la necessaria sicurezza alla luce degli inserti all’incarto, che fino al 31 marzo 2016 la ricorrente aveva un obbligo giuridico di mantenimento del figlio __________, visto che non è stato accertato il curriculum formativo del giovane precedente l’iscrizione (in se tardiva, rispetto ai coetanei, siccome avvenuta nel 2012) alla __________. Il fatto che la formazione di fisioterapista sia stata conclusa con l'ottenimento del diploma di fisioterapia il 31 marzo 2016 (quando __________ aveva quasi 28 anni) impone di verificare alla Cassa se il figlio della ricorrente avesse già conseguito, in precedenza alla formazione quale fisioterapista, altra formazione appropriata, ciò che farebbe decadere l’obbligo di mantenimento a norma dell’art. 277 cpv. 2 CC citato in precedenza. Se __________ non avesse completato una formazione appropriata a norma dell’art. 277 cpv. 2 CC sino al conseguimento del diploma __________ di fisioterapista, allora non dovrebbe essere considerato nel computo della pigione della mamma. Detto altrimenti, al termine della formazione adeguata scade l'obbligo giuridico di mantenimento da parte della ricorrente in favore del figlio. In concreto la formazione di fisioterapista, che ha permesso a __________ di reperire un lavoro con il settembre 2016, potrebbe costituire la formazione dell’art. 277 cpv. 2 CC ma la circostanza, alla luce dell’età d’inizio della __________ e dell’età del conseguimento del diploma di fisioterapista, va acclarata e verificato se il giovane ha in precedenza conseguito un diploma professionale o una formazione che possa essere ritenuta adeguata. Certo è che, dall’ottenimento del diploma __________, sicuramente, __________ non poteva non imporre, stante la convivenza con la madre, il riparto della pigione. La pigione deve essere ripartita in parti uguali fra le persone che coabitavano, da quella data (per il periodo precedente gli atti vanno rinviati per un accertamento e nuova decisione alla Cassa), con l'assicurata e che erano escluse dal calcolo delle prestazioni complementari della mamma. In conclusione, alla luce di quanto esposto e della necessità di verificare in maniera completa le circostanze di fatto (compito che tocca alla Cassa per garantire ogni diritto all’assicurata), il TCA non può pacificamente ritenere che, nel caso concreto, sussistesse un obbligo giuridico di mantenimento da parte della ricorrente nei confronti di __________ fondato sull'art. 277 cpv. 2 CC e ciò indipendentemente dal fatto che la rendita per figli in formazione si estende soltanto fino a 25 anni (art. 25 cpv. 5 LAVS), obbligo di mantenimento con incidenza sul computo della pigione. 2.10   Non è invece data un'eccezione possibile, in concreto, al principio della suddivisione in parti uguali della pigione per motivi morali. Non è infatti credibile sostenere che il figlio aiutava l'assicurata nelle faccende domestiche siccome la stessa, per motivi di salute o altro, ne era gravemente impedita, visto che la ricorrente svolgeva un'attività lucrativa. Non è quindi dato un motivo per riconoscere che l'assicurata fosse obbligata moralmente ad ospitare il figlio maggiorenne in casa quale contropartita dell'aiuto prestatole. 2.11   Per quanto concerne la presenza di __________ nel nucleo familiare dell'assicurata, va ritenuto che la coabitazione è iniziata il __________ settembre 2015, quando è arrivata dal __________ (doc. 138). La circostanza che il mese seguente la studentessa si è sposata con __________ e che non era in grado mantenersi, non costituisce un'eccezione al principio della suddivisione in parti uguali della pigione pagata dalla ricorrente. È poi pacifico che con la nascita della figlia il nucleo familiare si è ulteriormente ingrandito e che anche la presenza di __________ ha un influsso sulla pigione della ricorrente. Infatti, essendo esclusa dal calcolo della PC dell'assicurata, la sua quota parte di pigione non è presa in considerazione nel calcolo della prestazione complementare annua. 2.12   Riassumendo, ai fini del computo della pigione giusta l'art. 16c OPC-AVS/AI in connessione con l'art. 25 cpv. 2 lett. b OPC-AVS/AI, si deve considerare la seguente composizione familiare: - dal 1° ottobre 2015:  RI 1 __________ __________ Per questo periodo la Cassa dovrà eseguire la verifica imposta nel considerando precedente e decidere se comprendere, o meno, il figlio __________. - dal 1° aprile 2016:              RI 1 __________ __________ __________ - dal 1° aprile 2018:              RI 1 __________ __________ __________ __________ Ne discende che nelle spese riconosciute della ricorrente si deve considerare una pigione pari a 1/4 dal 1° aprile 2016 e a 1/5 dal 1° aprile 2018, mentre dal 1° ottobre 2015 (sino al 1° aprile 2016) l’accertamento demandato alla Cassa permetterà di ritenere la quota di 1/3 o 1/4 della pigione a dipendenza dell’esito delle verifiche. 2.13   Va evidenziato, infine, che il tema della buona fede fatta valere dalla ricorrente, la quale ha affermato di non avere tentato di sottacere alcunché alla Cassa avendo sin da subito annunciato entrambi i suoi figli nell'apposito formulario di richiesta delle prestazioni complementari (doc. I punto 5), e quindi la questione a sapere l'assicurata abbia violato il suo obbligo di informare per quanto concerne la presenza del figlio __________ presso di lei, non ha influenza sull'esito della presente causa ma potrà, s del caso, essere oggetto d’esame in una procedura relativa al condono. Infatti, come ricordato dal Tribunale federale nella recente STF 9C_110/2019 del 22 luglio 2019 al considerando 6 (SVR 2020 EL Nr. 2), l'obbligo di restituire prestazioni complementari in caso di mancata notifica di altre persone conviventi non è legato a una violazione dell'obbligo di informare (DTF 122 V 134 consid. 2; STF 8C_689/2016 del 5 luglio 2017 consid. 3.1). La questione ha invece importanza, come indicato, per il tema del condono della restituzione ai sensi dell'art. 25 cpv. 1 2a frase LPGA, che deve fare oggetto di una procedura separata (STF 8C_804/ 2017 del 9 ottobre 2018 consid 2 in fine). Spetterà, al momento opportuno, alla Cassa di compensazione decidere di un condono, se l'assicurata lo chiederà nei termini previsti (art. 4 cpv. 3 OPGA). 2.14   Da quanto precede discende che il ricorso deve essere parzialmente accolto e la decisione della Cassa di compensazione impugnata deve essere annullata unicamente per quanto attiene al computo dell’onere di locazione per il periodo corrente dal 1. settembre 2015 alla fine di marzo 2016. L’amministrazione verificherà quanto indicato nelle considerazioni che precedono, e – unicamente per tale ristretto periodo – emanerà un nuovo giudizio. Per i periodi di ricalcolo qui decisi l’assicurata potrà inoltrare, come indicato nelle considerazioni del punto precedente, il condono se lo riterrà. La ricorrente, parzialmente vincente in causa, ha diritto a indennità per ripetibili ridotte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