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33.2019.18 vom 12. Februar 2020</w:t>
      </w:r>
    </w:p>
    <w:p>
      <w:r>
        <w:t>TI Tribunale d'appello, 2020-02-12, IT</w:t>
      </w:r>
    </w:p>
    <w:p>
      <w:r>
        <w:rPr>
          <w:b/>
        </w:rPr>
        <w:t xml:space="preserve">Quelle: </w:t>
      </w:r>
      <w:r>
        <w:t>https://mcp.opencaselaw.ch/entscheid/ti_gerichte_33.2019.18</w:t>
      </w:r>
    </w:p>
    <w:p>
      <w:r>
        <w:t>FR: TI_GERICHTE 33.2019.18 du 12 février 2020</w:t>
      </w:r>
    </w:p>
    <w:p>
      <w:r>
        <w:t>IT: TI_GERICHTE 33.2019.18 del 12 febbraio 2020</w:t>
      </w:r>
    </w:p>
    <w:p>
      <w:pPr>
        <w:pStyle w:val="Heading2"/>
      </w:pPr>
      <w:r>
        <w:t>Erwägungen</w:t>
      </w:r>
    </w:p>
    <w:p>
      <w:r>
        <w:rPr>
          <w:b/>
        </w:rPr>
        <w:t>E. 2</w:t>
      </w:r>
    </w:p>
    <w:p>
      <w:r>
        <w:t>(…)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w:t>
      </w:r>
    </w:p>
    <w:p>
      <w:r>
        <w:rPr>
          <w:b/>
        </w:rPr>
        <w:t>E. 2.4</w:t>
      </w:r>
    </w:p>
    <w:p>
      <w:r>
        <w:t>In concreto, con decisione formale del 15 marzo 2016 (doc. 151) la Cassa di compensazione ha ricalcolato il diritto alle prestazioni complementari dal 1° novembre 2011 al 31 marzo 2016, suddividendo i calcoli in diversi periodi a seconda delle modifiche personali ed economiche riscontrate. Quale motivazione per questa nuova decisione la Cassa ha indicato " Riesame con decorrenza 1° novembre 2011 a seguito della mancata comunicazione al Servizio PC della convivenza con __________. ". La restituzione di prestazioni complementari si imporrebbe quindi a seguito della scoperta della condivisione dell'assicurato della sua abitazione con terze persone. Questo fatto, che fa diminuire il suo fabbisogno, ha comportato che egli avrebbe illecitamente beneficiato di prestazioni complementari maggiori di quanto in realtà di sua spettanza nel lasso di tempo dal 1° novembre 2011 al 31 marzo 2016. Concretamente, la Cassa di compensazione ha stabilito che dal 1° novembre 2011 l'interessato aveva diritto alle PC in misura inferiore rispetto a quanto deciso in precedenza e, constatato quindi un indebito riconoscimento di prestazioni giusta l'art. 25 LPGA, ha chiesto all'assicurato la restituzione della somma di Fr. 24'510.- erroneamente versata da quel momento fino al 31 marzo 2016, corrispondente alla differenza fra le PC incassate in quel periodo e le prestazioni complementari di diritto nel medesimo lasso di tempo.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a LPC, le persone domiciliate e dimoranti abitualmente in Svizzera hanno diritto alle prestazioni complementari se ricevono una rendita di vecchiaia dell'AVS. L'importo della prestazione complementare annua è pari alla quota delle spese riconosciute che eccede i redditi computabili (art. 9 cpv. 1 LPC). Per quanto qui di rilevanza, va segnalato che per le spese riconosciute l'art. 10 cpv. 1 LPC prevede in particolare che: " Per le persone che non vivono durevolmente o per un lungo periodo in un istituto o in un ospedale (persone che vivono a casa), le spese riconosciute sono le seguenti: (…) b. la pigione di un appartamento e le relative spese accessorie; in caso di conguaglio per le spese accessorie, non si tiene conto né del saldo attivo né di quello passivo; l'importo massimo annuo riconosciuto è il seguente: 1. 13 200 franchi per le persone sole," e che l'art. 11 cpv. 1 LPC enumera esaustivamente i redditi computabili, fra i quali vi sono: " d . le rendite, le pensioni e le altre prestazioni periodiche, comprese le rendite dell'AVS e dell'AI; ". 2.7.   Quanto alle spese riconosciute dell'assicurato, per il computo della pigione la Cassa di compensazione ha considerato che l'assicurato condivideva l'appartamento con una persona che non aveva diritto alle prestazioni complementari e quindi che era esclusa dal calcolo delle PC. Per questo motivo ha ritenuto nel suo fabbisogno soltanto la metà della pigione lorda pagata. Il ricorrente ha contestato questo aspetto, affermando di avere un obbligo morale di occuparsi del figlio della sua (ex) moglie e quindi di provvedere a lui anche economicamente. Per il citato art. 10 cpv. 1 lett. b LPC, sono considerate spese riconosciute la pigione di un appartamento e le relative spese accessorie (escluse le pigioni rimaste insolute). Per le persone sole, come visto, la legge federale riconosce un importo massimo annuo di Fr. 13'200.-.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 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 Carigiet/ 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w:t>
      </w:r>
    </w:p>
    <w:p>
      <w:r>
        <w:rPr>
          <w:b/>
        </w:rPr>
        <w:t>E. 3</w:t>
      </w:r>
    </w:p>
    <w:p>
      <w:r>
        <w:t>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come ampiamente esposto nelle considerazioni di merito, la giurisprudenza in ambito di computo della pigione in caso di convivenza fra più persone è chiara e costante da anni e il caso di specie non rappresenta un'eccezione tale da costituire un motivo per scostarsene. Peraltro, come indicato la scrivente Corte si è già pronunciata su un caso praticamente identico un paio di anni fa - pubblicato sul sito www.sentenze.ti.ch -, circostanza che non doveva sfuggire al patrocinatore dell'assicurato e che avrebbe evitato ulteriori costi inutili non solo a quest'ultimo, come da egli stesso lamentato. Facendo quindi difetto uno dei tre presupposti cumulativi necessari per ottenere l'assistenza giudiziaria, non occorre verificare oltre l'adempimento delle altre condizioni. L'istanza di assistenza giudiziaria deve essere così respinta.</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il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Ancora di recente,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Nel caso di specie non era dunque data l'eccezione al principio dell'art. 16c OPC-AVS/AI della suddivisione in parti uguali della pigione, perciò la Cassa di compensazione ha correttamente computato la metà della pigione all'assicurata. La giurisprudenza cantonale resa è ricca di casi. Con STCA 33.2001.82 del 14 giugno 2002 è stata ammessa la divisione per due della pigione in un altro caso di convivenza tra madre e figlia e nella STCA del 7 gennaio 2003 (33.2002.72) questo Tribunale Cantonale delle Assicurazioni ha respinto la richiesta di una madre, che condivideva l'appartamento con la figlia maggiorenne ,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Questo Tribunale si è pronunciato il 20 aprile 2015 (33.2015.1) sul caso di un'assicurata che abitava insieme al fratello sin dal 2010, mentre la convivenza con la badante era sorta dal giugno 2014, quando era stata assunta come lavoratrice salariata.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Nella STCA 33.2017.4 il Tribunale si è chinato il 9 febbraio 2018 sul caso del ricorrente che ospitava in casa propria la figlia della sua ex moglie, la quale, andandosene dalla Svizzera, ha lasciato la figlia a carico dell'ex marito. Il TCA ha respinto la richiesta di una diversa ripartizione della pigione, essendo indubbio che la figlia della ex moglie non fosse, dal profilo giuridico, sua figlia e che, pertanto, egli non avesse alcun obbligo di mantenimento nei suoi confronti dal profilo civile. Inoltre, malgrado si occupasse del mantenimento della figlia della sua ex moglie, l'assicurato non poteva avvalersi delle eccezioni al principio della ripartizione del canone di locazione su tutti i coabitanti. In effetti, in quanto maggiorenne, non beneficiaria di una rendita e oltretutto non essendo sua figlia, la studentessa non era in alcun modo compresa nel calcolo della prestazione complementare dell'interessato - che peraltro non era il suo genitore. Infine, nemmeno era stata sollevata la tesi che la studentessa si prendesse cura dell'assicurato, ma semmai era il contrario, perciò anche per tale motivo la fattispecie non rientrava fra le eccezioni ammesse dall'art. 16c cpv. 2 OPC-AVS/AI, non essendo confrontati con una situazione di riconoscenza da parte dell'uno nei confronti dell'altra. Non v'era dunque né un obbligo giuridico né un obbligo morale di mantenimento da parte del ricorrente nei confronti della figlia della sua ex moglie. Nella STCA 33.2018.4 del 16 luglio 2018 il TCA ha confermato la suddivisione a metà della pigione lorda pagata da un assicurato che condivideva l'abitazione con la sua badante, alla quale veniva detratto dallo stipendio il vitto e l'alloggio. Trattandosi quindi di una convivenza onerosa e non a titolo gratuito, non si poteva invocare l'eccezione alla suddivisione paritaria . Il 14 agosto 2018 (33.2018.6) la scrivente Corte si è pronunciata sul caso di una mamma che inizialmente conviveva con la figlia, la quale, poi, si è sposata e ha avuto due figli. Pertanto, sotto lo stesso tetto abitavano la ricorrente, la figlia con il marito e i loro due figli rispettivamente nipotini dell'assicurata. Non è stata menzionata né comprovata una particolare suddivisione dei locali né tanto meno che la vita in comune si fondava su un obbligo morale o giuridico, quale un obbligo di mantenimento del diritto civile giusta l'art. 276 CC e l'art. 277 CC e nemmeno un obbligo di assistenza tra parenti dell'art. 328 CC. I motivi economici alla base della convivenza non erano sufficienti per ammettere l'eccezione alla suddivisione per teste della pigione. Nel caso deciso il 7 gennaio 2019 (33.2018.13), seppure per poco tempo (5 mesi) sotto lo stesso tetto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pigione lorda dell'abitazione sia stata ripartita fra le singole persone che abitavano nell'immobile locato dall'assicurato. 2.8.   La fattispecie in esame è collocabile nel solco della esposta giurisprudenza e in particolare della STCA 33.2017.4, visto che anche nel caso di specie il ricorrente ha confermato di avere ospitato in casa propria il figlio della sua (ex) moglie. L'insorgente ha sostenuto che sebbene nel periodo in esame (2011-2016) fosse maggiorenne (1991), anche una volta portati a termine gli studi il ragazzo non era in grado di mantenersi da solo, perciò egli ha sentito un dovere morale di mantenerlo e di prendersi cura di lui dandogli vitto e alloggio gratuiti. Inoltre questa convivenza, iniziata ufficialmente il 19 ottobre 2011 (doc. 122), a dire del ricorrente si estendeva soltanto in alcuni momenti, visto che dopo gli studi il giovane ha soggiornato all'estero, così come presso la mamma, amici e la sua ragazza. Oltretutto, l'ospite occupava soltanto una piccola porzione dell'abitazione, e meglio solo la camera da letto. D'avviso di questa Corte, la richiesta dell'assicurato di non considerare l'ospite nel computo della pigione non va tutelata. Va in effetti evidenziato che è indubbio che il figlio di primo letto di sua moglie non sia, dal profilo giuridico, suo figlio e che, pertanto, l'insorgente non abbia alcun obbligo giuridico di mantenimento nei suoi confronti dal profilo civile. Inoltre, malgrado si sia occupato del mantenimento di __________, l'assicurato non può avvalersi delle eccezioni al principio della ripartizione del canone di locazione su tutti i coabitanti. In effetti, in quanto maggiorenne, non beneficiario di una rendita, e oltretutto non essendo suo figlio, il giovane non era in alcun modo compreso nel calcolo della prestazione complementare del ricorrente (cfr. art. 9 cpv. 5 lett. a LPC; art. 7 e 8 OPC-AVS/AI; STFA P 76/01 del 9 gennaio 2003 consid. 2). Per quanto concerne la motivazione addotta dall'assicurato secondo cui egli occupava la maggior parte dell'appartamento di 4 locali, il TCA rileva che è difficile credere che l'ospite si sia limitato ad utilizzare soltanto la camera da letto e non anche il gabinetto, la cucina e la sala da pranzo, ritenuto poi che lo stesso assicurato ha affermato di fornirgli gratuitamente il vitto. Infine, la circostanza sollevata in sede di opposizione secondo cui " tenuto conto dei problemi di salute dell'assicurato, il figliastro costituisce una preziosa risorsa in relazione alle faccende domestiche " e che visto che " le condizioni di salute di RI 1 sono purtroppo molto peggiorate e la consapevolezza di non trovarsi solo in casa, soprattutto la notte, gli permetteva di vivere più serenamente, sapendo di disporre di qualcuno su cui contare in caso di bisogno " (doc. 186), non solo non è stata comprovata, ma neppure è sufficiente, come tale, per potere ammettere un'eccezione al principio della suddivisione paritaria della pigione fra i conviventi ai sensi dell'art. 16c cpv. 2 OPC-AVS/AI. Inoltre, la scrivente Corte rileva che questa motivazione contraddice quanto lo stesso assicurato ha poi affermato, tre anni dopo, nel suo memoriale di ricorso. Infatti, se nel 2016 il figlio della moglie lo aiutava nelle faccende domestiche e la sua presenza lo rassicurava durante la notte, poi nel 2019 l'assicurato ha sostenuto che il ragazzo " raramente ha realmente vissuto a casa sua " (doc. I pag. 2 punto 9), ma che oltre a essere stato all'estero " ha soggiornato talvolta presso la madre, talvolta ha vissuto da amici, talvolta ha convissuto con la sua ragazza " (doc. I pag. 2 punto 8). In sostanza, il giovane era domiciliato presso di lui unicamente " per poter fornire alle diverse amministrazioni un recapito certo. " (doc. I pag. 2 punto 10). In tali circostanze, non si può certo sostenere che il figlio della moglie si prendesse cura dell'insorgente ma, semmai, era il contrario (doc. I punto 5: " (…) il ricorrente è sempre stato un punto di riferimento per lui e nel limite del possibile lo ha sempre aiutato "), perciò anche per tale motivo la fattispecie in esame non rientra fra le eccezioni derivanti dall'art. 16c cpv. 2 OPC-AVS/AI, non essendo confrontati con una situazione di riconoscenza da parte dell'uno nei confronti dell'altro (DTF 105 V 271). In conclusione, dalle circostanze di fatto esposte il TCA ritiene che, nel caso concreto, oltre a non esservi un obbligo giuridico, non v'era nemmeno un obbligo morale di mantenimento da parte del ricorrente nei confronti di __________, figlio maggiorenne di sua moglie - dalla quale è separato (STCA 33.2017.4 del 9 febbraio 2018 consid. 2.12). Pertanto, questo Tribunale decide che poiché ha convissuto con l'assicurato, ma non era beneficiario di una rendita e quindi nemmeno di prestazioni complementari, il figlio di sua moglie era escluso per definizione dal calcolo delle PC del ricorrente. Di conseguenza, è corretto che la pigione lorda dell'abitazione sia stata ripartita fra le singole persone che abitavano nell'immobile locato dall'assicurato e che dunque la parte di pigione del suo ospite, escluso dal calcolo PC, conformemente all'art. 16c cpv. 1 OPC-AVS/AI non sia stata considerata nella determinazione della sua prestazione complementare. È quindi a buon diritto che la Cassa di compensazione, nel calcolo delle PC dell'assicurato, ha ritenuto solo la metà della pigione lorda, non essendo dati i motivi per fare ricadere il caso di specie nelle eccezioni riconosciute dalla giurisprudenza in applicazione dell'art. 16c cpv. 2 OPC-AVS/AI. 2.9.   Stando così le cose, la decisione della Cassa di compensazione che pretende la restituzione delle prestazioni complementari percepite indebitamente nel periodo dal 1° novembre 2011 al 31 marzo 2016 deve essere confermata integralmente. Le critiche del ricorrente all'indirizzo della Cassa per avere intrapreso la procedura in esame malgrado la stessa, vista la sua situazione economica, non porterebbe a nulla, non gli giovano e non portano a un risultato diverso da quello esposto. Il ricorso deve pertanto essere respinto e la decisione impugnata confermata. 2.10.   L'assicurato ha chiesto di essere posto al beneficio dell'assistenza giudiziaria (doc. I), omettendo tuttavia di completare la sua istanza dalla necessaria documentazione dopo avere chiesto a tale scopo una proroga (doc. VI).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