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33.2018.6 vom 14. August 2018</w:t>
      </w:r>
    </w:p>
    <w:p>
      <w:r>
        <w:t>TI Tribunale d'appello, 2018-08-14, IT</w:t>
      </w:r>
    </w:p>
    <w:p>
      <w:r>
        <w:rPr>
          <w:b/>
        </w:rPr>
        <w:t xml:space="preserve">Quelle: </w:t>
      </w:r>
      <w:r>
        <w:t>https://mcp.opencaselaw.ch/entscheid/ti_gerichte_33.2018.6_d20180814</w:t>
      </w:r>
    </w:p>
    <w:p>
      <w:r>
        <w:t>FR: TI_GERICHTE 33.2018.6 du 14 août 2018</w:t>
      </w:r>
    </w:p>
    <w:p>
      <w:r>
        <w:t>IT: TI_GERICHTE 33.2018.6 del 14 agosto 2018</w:t>
      </w:r>
    </w:p>
    <w:p>
      <w:pPr>
        <w:pStyle w:val="Heading2"/>
      </w:pPr>
      <w:r>
        <w:t>Regeste</w:t>
      </w:r>
    </w:p>
    <w:p>
      <w:r>
        <w:t>Decisione di restituzione di PC indebitamente percepite. L'ass. non ha informato la Cassa che condivideva l'abitazione con altre 4 persone.Non ha comprovato una particolare suddivisione dei locali né tanto meno che la vita in comune si fonda su un obbligo morale o giuridico.I familiari sono esclusi</w:t>
      </w:r>
    </w:p>
    <w:p>
      <w:pPr>
        <w:pStyle w:val="Heading2"/>
      </w:pPr>
      <w:r>
        <w:t>Erwägungen</w:t>
      </w:r>
    </w:p>
    <w:p>
      <w:r>
        <w:rPr>
          <w:b/>
        </w:rPr>
        <w:t>E. 42</w:t>
      </w:r>
    </w:p>
    <w:p>
      <w:r>
        <w:t>cons.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   In concreto, con decisione formale del 28 marzo 2018 (doc. A5) la Cassa cantonale di compensazione ha ricalcolato il diritto alle prestazioni complementari dal 1° maggio 2014 al 31 marzo 2018, suddividendolo in sette periodi. Quale motivazione per questa nuova decisione, la Cassa ha indicato che si tratta di una “ decisione emessa a seguito della mancata comunicazione dell’entrata nell’economia domestica di altre tre persone a decorrere da maggio 2014. ”. La restituzione di prestazioni complementari si imporrebbe quindi a seguito della scoperta che l.ssicurata divideva la sua abitazione non solo con la figlia, come già noto, ma anche con il marito della figlia dall’aprile 2014, poi con il primo nipote dal giugno 2014 e dal luglio 2017 anche con il secondo abiatico, ciò che ha portato a una riduzione della pigione lorda imputabile nelle sue spese riconosciute. Tuttavia, questi cambiamenti non sono stati dichiarati dall’assicurata alla Cassa, comportando così che l’interessata avrebbe illecitamente beneficiato di prestazioni complementari maggiori in quel lasso di tempo. A fronte di tale circostanza, l'amministrazione ha quindi dapprima calcolato le prestazioni complementari mensili corrette di diritto dell’assicurata per quel periodo, diminuendole; in seguito, ha determinato gli importi chiesti in restituzione. Constatato quindi un indebito riconoscimento di prestazioni giusta l'art. 25 LPGA, l'amministrazione ha chiesto all'assicurata la restituzione della somma di Fr. 21'651.- erroneamente versata dal 1° maggio 2014 al 31 marzo 2018 e ha stabilito che per quello stesso periodo l’interessata aveva diritto alle PC in misura inferiore. Nel proprio ricorso l'assicurata ha sollevato la sua buona fede avendo difficoltà nel comprendere la lingua italiana essendo di madre lingua tedesca. Inoltre, non conoscendo la legge, non sapeva che doveva avvisare l’amministrazione della condivisione della sua abitazione con il genero e i nipoti.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ricevono una rendita di vecchiaia dell’assicurazione vecchiaia e superstiti (AVS). L'importo della prestazione complementare annua è pari alla quota delle spese riconosciute che eccede i redditi computabili (art. 9 cpv. 1 LPC). Per quanto riguarda le spese riconosciute, dal 1° gennaio 2015 l'art. 10 cpv. 1 LPC prevede che: " Per le persone che non vivono durevolmente o per un lungo periodo in un istituto o in un ospedale (persone che vivono a casa), le spese riconosciute sono le seguenti: a. importo destinato alla copertura del fabbisogno generale vitale, per anno: 1. 19 290 franchi per le persone sole, 2. 28 935 franchi per i coniugi, 3. 10 080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d.   le rendite, le pensioni e le altre prestazioni periodiche, comprese le rendite dell'AVS e dell'AI; ".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2.7.   Quanto alle spese riconosciute , per il computo della pigione la Cassa di compensazione ha considerato che l’assicurata condivideva l’appartamento con delle persone che non avevano diritto alle prestazioni complementari e quindi che erano escluse dal suo calcolo delle PC. Per questo motivo ha ritenuto nel suo fabbisogno soltanto un terzo, rispettivamente un quarto e poi un quinto della pigione lorda totale. Per il citato art. 10 cpv. 1 lett. b LPC, sono considerate spese riconosciute la pigione di un appartamento e le relative spese accessorie (escluse le pigioni rimaste insolute). Per le persone sole, come visto, la legge federale riconosce un importo massimo annuo di Fr. 13'200.-.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evaso dalla DTF 105 V 272, l'allora TFA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Tribunale federale delle assicurazioni, chiamato a statuire sulla deduzione della pigione nel caso di una vedova a beneficio della PC che viveva insieme a una figlia minorenne proveniente da una relazione extraconiugale, ha rilevato quanto segue: " 2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 woran die Vorbringen der Ausgleichskasse nichts zu ändern vermögen. Wohl können nach Art. 323 Abs. 2 ZGB die Eltern vom Kind, das in häuslicher Gemeinschaft mit ihnen lebt, verlangen, dass es einen angemessenen Beitrag an seinen Unterhalt leistet . Dies setzt indessen voraus, dass das Kind hiezu in der Lage ist und über eigenes Einkommen oder Vermögen verfügt. So verhält es sich hier unbestrittener massen jedoch nicht. (…)" ( le sottolineature sono della redattrice ). Con sentenza del 9 gennaio 2003 (P 76/01), in un caso ticinese l'allora Tribunale federale delle assicurazioni ha stabilito: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 sottolineature della redattrice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l’allora Tribunale federale delle assicurazioni (dal 1° gennaio 2007: Tribunale federale) ha confermato che la partecipazione della figlia alle spese di pigione doveva essere stabilita, considerate le circostanze del caso, in un quarto (cfr.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l'eccezione alla suddivisione paritaria permessa dall'art. 16c cpv. 2 OPC-AVS/AI, che prevede appunto che, di principio , la ripartizione della pigione deve avvenire in uguali parti, non va applicata quando in un'abitazione coabitano degli adulti e dei bambini piccoli. È infatti soltanto il fabbisogno vitale che viene per legge distinto fra adulti e bambini, mentre alcuna distinzione è prevista in ambito di suddivisione della pigione. Ancora di recente, nella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Le quote del canone relativo a queste persone sono tralasciate nel conteggio annuale delle prestazioni complementari (art. 16c cpv. 1 e 2 OPC-AVS/AI). Dopo avere ricordato e spiegato nel dettaglio l’eccezione al principio della divisione paritaria applicata nella DTF 105 V 271, giurisprudenza che è stata confermata numerose volte anche in seguito, l’Alta Corte ha adottato il principio della suddivisione in parti uguali della pigione quando v’è una condivisione con persone non incluse nel calcolo delle PC anche nel caso esaminato nel giugno 2016,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Nel caso di specie non era dunque data l’eccezione al principio dell’art. 16c OPC-AVS/AI della suddivisione in parti uguali della pigione, perciò la Cassa di compensazione ha correttamente computato la metà della pigione all’assicurata. Per quanto concerne la giurisprudenza cantonale resa da questo Tribunale, nella decisione del 13 gennaio 2002 (33.2001.93) il TCA ha respinto la richiesta di una coppia di assicurati, convivente con un'altra coppia di persone, di considerare interamente la pigione a carico del postulante le prestazioni complementari. Con STCA 33.2001.82 del 14 giugno 2002 è stata ammessa la divisione per due della pigione in un altro caso di convivenza tra madre e figlia. In altra sentenza dell'11 settembre 2002 (33.2002.25) il TCA ha ritenuto che due conviventi in età che avevano congiuntamente sottoscritto un contratto di locazione dovevano vedersi imputare la pigione in ragione di ½ ciascuno. Anche nella sentenza del 7 gennaio 2003 (33.2002.72) questo Tribunale Cantonale delle Assicurazioni ha respinto la richiesta di una madre, che condivideva l'appartamento con la figlia maggiorenne ,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Dagli atti è inoltre emerso che nella stessa abitazione dell'insorgente risultavano domiciliate pure la figlia e la nipote. Orbene, poiché studiava all'estero e il suo computo avrebbe comportato un aggravio e peggioramento della situazione per la ricorrente, la nipote non è stata conteggiata nel calcolo PC.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ossia da quando era stata assunta come lavoratrice salariata. L'assicurata non ha fatto valere particolari motivi che potessero provocare una diversa ripartizione della pigione rispettivamente la rinuncia ad una suddivisione.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che si sarebbero presentate se fosse stato confermato che la pigione lorda annua doveva essere suddivisa fra il fratello, la badante e l'assicurata stessa.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il Tribunale si è chinato il 9 febbraio 2018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(DTF 105 V 271). Non v’era dunque né un obbligo giuridico né un obbligo morale di mantenimento da parte del ricorrente nei confronti della figlia della sua ex moglie. Infine, di recente (STCA 33.2018.4 del 16 luglio 2018), il TCA ha confermato la suddivisione a metà della pigione lorda pagata da un assicurato che condivideva l’abitazione con la sua badante, alla quale veniva detratto dallo stipendio il vitto e l’alloggio. Perciò, trattandosi di una convivenza onerosa e non a titolo gratuito, non si poteva invocare l’eccezione alla suddivisione paritaria prevista dall’art. 16c cpv. 2 OPC-AVS/AI. 2.8.   L’evenienza concreta è simile a diverse altre appena esposte, in cui è stato applicato il principio della suddivisione paritaria. Sin dalla richiesta del 6 febbraio 2014 delle prestazioni nel 2014, la Cassa era al corrente che la ricorrente ospitava in casa propria la figlia, con conseguente dimezzamento della pigione lorda nelle sue spese riconosciute (Fr. 23'520.- : 2). Ciò era emerso dalla dichiarazione dell’assicurata stessa, che rispondendo alla domanda n. 54 ha indicato che __________ viveva nella propria economia domestica (doc. 11). Tale informazione risultava peraltro dal contratto di locazione (doc. 5), figurando entrambe le donne come conduttrici. In seguito, dal certificato di famiglia rilasciato il 23 marzo 2018 (doc. 78) dal Comune di __________, risulta che, sposandosi il __________ aprile 2014, da quel giorno __________ si è domiciliato presso la moglie. Un mese e mezzo dopo, il figlio __________ è entrato a fare parte della famiglia __________ e quindi anche a convivere con la nonna. Il fratello __________ ha completato la famiglia a metà luglio 2017. Pertanto, sotto lo stesso tetto abitano la ricorrente, la figlia con il marito e i loro due figli rispettivamente nipotini dell’assicurata. La ricorrente ha osservato che è per motivi affettivi ed economici che le tre generazioni coabitano, giacché la sola rendita AVS di Fr. 1'837.- non le permette di sostenere le normali spese di una persona pensionata. Ma problemi di natura economica non possono portare il TCA a una diversa soluzione da quella decisa dall’amministrazione. Va evidenziato che l’ assicurata non ha fatto valere particolari motivi che potessero provocare una diversa ripartizione della pigione rispettivamente la rinuncia a una suddivisione. Da un lato, in quanto maggiorenni, non beneficiari di una rendita, la figlia della ricorrente e il di lei marito non sono compresi in alcun modo nel calcolo della prestazione complementare della mamma (cfr. art. 3a cpv. 7 lett. a LPC; art. 7 e 8 OPC AVS/AI). Dall'altro, per lo stesso motivo la figlia non può avvalersi di un obbligo di mantenimento da parte della mamma secondo l'art. 276 e 277 CC (STFA P 76/01 del 9 gennaio 2003 consid. 2). Neppure l'obbligo all'assistenza tra parenti secondo l'art. 328 CC può giustificare il computo dell'intero canone di locazione a carico della mamma, poiché in tale ipotesi essa cadrebbe ancora maggiormente nell'indigenza (STFA P 76/01 del 9 gennaio 2003 consid. 3). Infine, nemmeno viene sollevata la tesi che la figlia e il genero si prendano cura dell’assicurata, perciò anche per tale motivo la fattispecie in esame non rientra fra le eccezioni ammesse dall’art. 16c cpv. 2 OPC-AVS/AI, non essendo confrontati con una situazione di riconoscenza da parte dell’uno nei confronti dell’altra (DTF 105 V 271). In conclusione, non è stata menzionata né comprovata una particolare suddivisione dei locali adducendo che la ricorrente occuperebbe la maggior parte dell'appartamento né tanto meno che la vita in comune si fonderebbe su un obbligo morale o giuridico, quale un obbligo di mantenimento del diritto civile ex art. 276 CC ed art. 277 CC, e nemmeno un obbligo di assistenza tra parenti giusta l'art. 328 CC. N on è dunque possibile fare ricadere il caso concreto nelle summenzionate eccezioni riconosciute in applicazione dell'art. 16c cpv. 2 OPC-AVS/AI. Pertanto, questo Tribunale stabilisce che poiché la ricorrente convive con i propri familiari, che però non sono beneficiari di PC, la figlia, il genero e i due nipotini sono esclusi per definizione dal calcolo delle sue prestazioni complementari. Di conseguenza, è corretto che la pigione lorda dell’abitazione sia stata ripartita fra le singole persone che abitano nell’immobile inizialmente affittato dall’assicurata insieme alla figlia e dall’11 luglio 2014 (doc. 70) anche dal marito e che dunque la parte di pigione dei familiari della ricorrente, esclusi dal calcolo PC, non sia stata presa in considerazione nel calcolo della prestazione complementare annua. È dunque a buon diritto che la Cassa di compensazione, in applicazione dell’art. 16c cpv. 1 OPC-AVS/AI, nel calcolo delle PC dell’assicurata ha ritenuto solo la quota parte della pigione lorda ad essa computabile, ovvero pari a un terzo di Fr. 23'520.- quando nell’abitazione di __________ coabitavano l’assicurata, la figlia e il di lei marito, a un quarto della pigione lorda quando è nato il primo nipotino e a un quinto quando si è aggiunto __________. La pigione lorda di Fr. 7'840.- (Fr. 23'520.- : 3) conteggiata il 28 marzo 2018 dall’amministrazione dal 1° al 31 maggio 2014 (doc. A7), di Fr. 5'880.- (Fr. 23'520.- : 4) dal 1° giugno 2014 al 31 luglio 2017 (docc. A6, A8, A9 e A10) e di Fr. 4'704.- (Fr. 23'520.- : 5) dal 1° agosto 2017 in poi (docc. A11 e A12), deve essere quindi confermata. 2.9.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 4 pag. 11 [K 70/06]; cfr. pure sentenza 9C_1057/2008 del 4 maggio 2009 consid. 4.1.1). Il Tribunale federale ha inoltre pure avuto modo di precisare (come ricorda la STF 8C_64/2011 del 7 novembre 2011) che a prescindere da una eventuale violazione del principio inquisitorio, il termine annuo di perenzione di cui all'art. 25 cpv. 2 LPGA non può cominciare a decorrere prima che le prestazioni siano state decise ed erogate (SVR 2010 EL Nr. 12 [9C_795/2009] ). Secondo giurisprudenza, questo termine viene salvaguardato con la resa del progetto di liquidazione del caso ( DTF 133 V 579 consid. 4.3.1; 119 V 431 consid. 3c; SVR 2011 IV Nr. 52 [8C_699/2010] consid . 2).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Occorre quindi di regola un secondo motivo - nel senso di una presa di coscienza dell'errato versamento delle prestazioni sulla base di un ulteriore indizio - per fondare il momento della conoscenza ragionevolmente esigibile dell'azione di restituzione ( DTF 110 V 306 seg.).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 pag. 383; DTA 2006 pag. 158 [C 80/05]).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(STFA C 36/01 del 13 agosto 2003 consid. 3.2.2). L'obbligo di accertamento prescritto dall'art. 43 cpv. 1 LPGA non consente di conseguenza di dipartirsi dalla prassi secondo cui se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 DTF 124 V 380 consid. 1 in fine pag. 383), a maggior ragione non si può fare risalire questo momento a una data ancora precedente (STF 9C_795/2009 del 21 giugno 2010 consid. 4.3 = SVR 2010 EL Nr. 12; STF 9C_737/2009 del 1° aprile 2010 consid. 2.3.2.2 in fine).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Infine, se per l'accertamento e l'esame del diritto alla restituzione è necessaria la collaborazione tra più unità amministrative incaricate dell'attuazione dell'assicurazione, la conoscenza anche di una sola di esse è sufficiente a fare decorrere i termini (DTF 112 V 180 consid. 4c; RCC 1989 pag. 558). Tuttavia, la conoscenza di un'autorità incompetente non è sufficiente in tal senso (DTF 139 V 6 consid. 5.1). 2.10.   Nel caso concreto, alla base del ricalcolo delle PC della ricorrente, vi è la circostanza che nel gennaio 2018 (doc. 75) la Cassa di compensazione ha avviato una revisione delle PC e, dalle risposte fornite dall’assicurata il 27 gennaio 2018, il 9 marzo 2018 (doc. 77) le ha chiesto di trasmetterle ulteriore documentazione inerente la condivisione della sua economia domestica con più persone. La dichiarazione del Comune di __________ sullo stato di famiglia dell’assicurata è pervenuta alla Cassa di compensazione il 27 marzo 2018 (doc. 78) per il tramite dell’agenzia comunale AVS. Sulla scorta di queste nuove informazioni, con decisione del 28 marzo 2018 (docc. A3 e A5) l’amministrazione ha ricalcolato il diritto alle PC dell’assicurata tenendo conto della suddivisione della pigione fra le persone che condividevano l’appartamento e ne risultava un diritto inferiore. Il TCA evidenzia che a quel momento, per certo, la Cassa disponeva di tutti gli elementi necessari per valutare il diritto dell’assicurata e per accorgersi di averle erroneamente versato delle prestazioni complementari superiori al suo reale diritto. In queste circostanze, la pretesa della Cassa di compensazione del 28 marzo 2018, emessa quando disponeva di tutti gli elementi decisivi dai quali risultava sia il principio stesso dell’obbligo di restituzione sia l’ammontare di quanto versato, è indubbiamente tempestiva. Ciò significa che l’anno di perenzione previsto dall’art. 25 cpv. 2 LPGA non era ancora trascorso. È infatti al più presto con la ricezione, al 27 marzo 2018, del certificato dello stato di famiglia dell’interessata, che comincia a decorrere il termine annuo di perenzione in cui l'amministrazione, usando l'attenzione da essa ragionevolmente esigibile e avuto riguardo alle circostanze, si è resa conto dei fatti giustificanti la restituzione (DTF 119 V 431 consid. 3a; DTF 110 V 304). L’ordine di restituzione emesso il giorno seguente (28 marzo 2018) non è dunque perento e come tale, nel principio, va confermato. 2.11.   Per quanto concerne gli importi da restituire, va evidenziato che l’autorità amministrativa ha ricalcolato il diritto alle prestazioni complementari della ricorrente. Dai fogli di calcolo allegati alla decisione risulta chiaramente e correttamente che la nuova suddivisione della pigione comporta che l’assicurata aveva diritto alle prestazioni complementari in misura inferiore rispetto a quanto stabilito nel 2014-2018. Dal 1° gennaio 2018 il diritto alle PC ammonta correttamente a Fr. 163.- al mese, oltre al pagamento del premio forfettario di Cassa malati. Di conseguenza, a suo tempo, tale diritto è stato calcolato dalla Cassa di compensazione su basi errate. È quindi a giusta ragione che, di principio, l’interessata è stata chiamata a restituire le prestazioni ricevute in eccesso. La somma da rimborsare corrisponde quindi correttamente alla differenza fra le prestazioni complementari a suo tempo versate alla ricorrente e gli ammontari a cui avrebbe invece avuto diritto secondo i fogli di calcolo allegati all’ordine di restituzione. La decisione del 28 marzo 2018 indica chiaramente quale sarebbe stato il suo diritto per ogni periodo di calcolo, gli importi delle mensilità da restituire e per quanto tempo. Il totale da rimborsare di Fr. 23'651.- va dunque confermato. 2.12.   Ne discende che la Cassa cantonale di compensazione, avendo rilevato un caso di indebita percezione di prestazioni da parte della ricorrente, era legittimata ad emanare una decisione di restituzione. Infatti, con la scoperta di nuovi fatti rilevanti, le precedenti decisioni di concessione delle prestazioni complementari dovevano essere riviste ai sensi dell’art. 53 cpv. 1 LPGA. Nell’evenienza concreta, l’assicurata ha condiviso il proprio appartamento non solo con la figlia, ma poi anche con il genero e i loro due figli. La Cassa di compensazione è però venuta a conoscenza di questa circostanza soltanto al più presto nel mese di marzo 2018. Si tratta così di un fatto nuovo rilevante, di cui l’amministrazione non poteva essere al corrente prima di allora. Questo nuovo fatto, corroborato dalle nuove prove raccolte, ha comportato che la Cassa ha versato all’assicurata delle prestazioni complementari che non dovevano esserle riconosciute in quella misura. Ne segue che, a giusta ragione, l’amministrazione ha proceduto alla revisione delle precedenti decisioni di fissazione delle prestazioni complementari. 2.13.   Stando così le cose, la decisione della Cassa di compensazione che pretende la restituzione delle prestazioni complementari percepite indebitamente nel periodo dal 1° maggio 2014 a 31 marzo 2018, quantificate in Fr. 23'651.-, deve essere confermata integralmente. Parallelamente, è corretto che dal 1° gennaio 2018 il diritto alle prestazioni complementari dell’assicurata ammonti a Fr. 163.- al mese, oltre a Fr. 499.- per il pagamento del premio forfettario dell’assicurazione malattia obbligatoria. 2.14.   Resta da esaminare la domanda di condono che l’assicurata, in applicazione dell’art. 3 cpv. 3 OPGA, chiede venga decisa dal Tribunale. La ricorrente fa valere la sua indigenza, non permettendole la sola rendita AVS di Fr. 1'837.- di avere una propria economia domestica tanto che vive insieme alla figlia e alla di lei famiglia. Inoltre, ha sollevato la sua buona fede nel non avere informato la Cassa di compensazione sulla condivisione dell’abitazione con i familiari a causa di difficoltà linguistiche.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nella decisione impugnata l’amministrazione non si è pronunciata sulla domanda di condono e quindi non si è espressa né sulla buona fede né sull’onere troppo grave. Essa ha ritenuto di doversi pronunciare solo dopo la crescita in giudicato della decisione di restituzione. Questo TCA rileva che in assenza di una specifica decisione della Cassa, ritenuto il potere cognitivo limitato del Tribunale federale in caso di ricorso, per garantire alle parti un doppio grado di giudizio, è necessario che l’amministrazione si esprima per prima sul condono tramite un provvedimento impugnabile. Una decisione di questo Tribunale sarebbe quindi ora prematura. Le parti, in applicazione del loro diritto di essere sentite, dovrebbero inoltre potere prendere posizione sul calcolo che il TCA dovrebbe effettuare conformemente all’art. 5 OPGA. Da quanto precede discende che, non essendo qui in presenza di una decisione formale ex art. 49 LPGA, rispettivamente di una decisione su opposizione impugnabile dall’assicurata davanti al TCA in virtù dell’art. 56 LPGA, la domanda di condono formulata dalla ricorrente dovrà essere decisa in primo luogo dalla Cassa di compensazione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