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33.2014.25 vom 14. September 2016</w:t>
      </w:r>
    </w:p>
    <w:p>
      <w:r>
        <w:t>TI Tribunale d'appello, 2016-09-14, IT</w:t>
      </w:r>
    </w:p>
    <w:p>
      <w:r>
        <w:rPr>
          <w:b/>
        </w:rPr>
        <w:t xml:space="preserve">Quelle: </w:t>
      </w:r>
      <w:r>
        <w:t>https://mcp.opencaselaw.ch/entscheid/ti_gerichte_33.2014.25</w:t>
      </w:r>
    </w:p>
    <w:p>
      <w:r>
        <w:t>FR: TI_GERICHTE 33.2014.25 du 14 septembre 2016</w:t>
      </w:r>
    </w:p>
    <w:p>
      <w:r>
        <w:t>IT: TI_GERICHTE 33.2014.25 del 14 settembre 2016</w:t>
      </w:r>
    </w:p>
    <w:p>
      <w:pPr>
        <w:pStyle w:val="Heading2"/>
      </w:pPr>
      <w:r>
        <w:t>Regeste</w:t>
      </w:r>
    </w:p>
    <w:p>
      <w:r>
        <w:t>Dal 2008 il D cant. regola il rimborso delle spese di malattia e invalidità e decide se l'AGI va dedotto dal rimborso. In TI non è possibile dedurre l'AGI, quindi il rimborso è integrale, indipendentemente dall'importo delle spese. Il D fed. non prevede più la garanzia minima di rimborso delle spese</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Riguardo al rimborso delle spese,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Nel caso concreto il ricorrente, che viveva a casa, ha avuto delle spese di malattia e invalidità consistenti in cure e assistenza a domicilio (art. 14 cpv. 1 lett. b LPC), che anche per l’anno 2014 sono state preventivate in Fr. 24'720.-. Con il ricorso l’assicurato ha evidenziato che le spese di malattia e invalidità sono state rimborsate integralmente dalla Cassa cantonale per l’anno 2013 (doc. A5), mentre dal 1° gennaio 2014 soltanto parzialmente a causa del computo dell’AGI (doc. A6). L'assegno per grandi invalidi di grado medio dell’AVS che l'assicurato percepiva assommava a Fr. 7'020.- (doc. A4). Considerato che in virtù dell’art. 8 cpv. 2 LaLPC non è possibile dedurre l’assegno per grandi invalidi AVS/AI/AINF/AM e quindi che il rimborso delle spese deve essere integrale ai sensi dell’art. 8 cpv. 1 LaLPC, il ricorrente ha quindi diritto dal 1° gennaio 2014 al rimborso di tutte le spese di malattia e invalidità notificate. Resta riservato un eventuale conguaglio o restituzione di somme a dipendenza delle spese effettive contabilizzate dalla Cassa di compensazione a fine anno. In virtù di quanto esposto, la decisione impugnata è annullata e il ricorso accolto, con rinvio degli atti alla Cassa cantonale di compensazione per emanare una nuova decisione che riconosca all’insorgente il rimborso di tutte le sue spese comprovate di malattia e di invalidità. Vincente in causa e patrocinato dalla RA 2, il ricorrente ha diritto a delle indennità per ripetibili (art. 61 lett. g LPGA), che in specie saranno ridotte in virtù del fatto che le motivazioni addotte sono le medesime di quelle espresse nell'inc. n. 33.2014.7, evaso con sentenza del 25 giugno 2015 e oggetto della STF 9C_583/2015 del 17 giugno 2016, posta alla base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