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33.2007.9 vom 12. November 2007</w:t>
      </w:r>
    </w:p>
    <w:p>
      <w:r>
        <w:t>TI Tribunale d'appello, 2007-11-12, IT</w:t>
      </w:r>
    </w:p>
    <w:p>
      <w:r>
        <w:rPr>
          <w:b/>
        </w:rPr>
        <w:t xml:space="preserve">Quelle: </w:t>
      </w:r>
      <w:r>
        <w:t>https://mcp.opencaselaw.ch/entscheid/ti_gerichte_33.2007.9</w:t>
      </w:r>
    </w:p>
    <w:p>
      <w:r>
        <w:t>FR: TI_GERICHTE 33.2007.9 du 12 novembre 2007</w:t>
      </w:r>
    </w:p>
    <w:p>
      <w:r>
        <w:t>IT: TI_GERICHTE 33.2007.9 del 12 novembre 2007</w:t>
      </w:r>
    </w:p>
    <w:p>
      <w:pPr>
        <w:pStyle w:val="Heading2"/>
      </w:pPr>
      <w:r>
        <w:t>Regeste</w:t>
      </w:r>
    </w:p>
    <w:p>
      <w:r>
        <w:t>PC per coniugi conviventi con figlia maggiorenne.Esame di tutte le poste delle spese riconosciute.Suddivisione di pigione fra teste.La figlia non rientra nel calcolo PC.Non c'è obbligo di mantenimento,assistenza tra parenti,obbligo morale di ospitarla.Pigione a 2/3.Valore locativo,spese manutenzione</w:t>
      </w:r>
    </w:p>
    <w:p>
      <w:pPr>
        <w:pStyle w:val="Heading2"/>
      </w:pPr>
      <w:r>
        <w:t>Erwägungen</w:t>
      </w:r>
    </w:p>
    <w:p>
      <w:r>
        <w:rPr>
          <w:b/>
        </w:rPr>
        <w:t>E. 1</w:t>
      </w:r>
    </w:p>
    <w:p>
      <w:r>
        <w:t>per le persone sole, almeno 14690 franchi e al massimo 16290 franchi;</w:t>
      </w:r>
    </w:p>
    <w:p>
      <w:r>
        <w:rPr>
          <w:b/>
        </w:rPr>
        <w:t>E. 1.3</w:t>
      </w:r>
    </w:p>
    <w:p>
      <w:r>
        <w:t>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A.________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w:t>
      </w:r>
    </w:p>
    <w:p>
      <w:r>
        <w:rPr>
          <w:b/>
        </w:rPr>
        <w:t>E. 2</w:t>
      </w:r>
    </w:p>
    <w:p>
      <w:r>
        <w:t>per i coniugi, almeno 22035 franchi e al massimo 24435 franchi;</w:t>
      </w:r>
    </w:p>
    <w:p>
      <w:r>
        <w:rPr>
          <w:b/>
        </w:rPr>
        <w:t>E. 3</w:t>
      </w:r>
    </w:p>
    <w:p>
      <w:r>
        <w:t>Im Zeitpunkt des Verfügungserlasses (4. März 1999) war die am 8. Dezember 1983 geborene Tochter der Beschwerdegegnerin fünfzehn Jahre alt und damit noch minderjährig. Einen Anspruch auf Kinder- oder Waisenrente hat sie nicht ausgelöst. Als Inhaberin der elterlichen Gewalt (nunmehr elterliche Sorge: Ziff. I 4 des BG über die Änderung des ZGB vom 26. Juni 1998, in Kraft seit 1. Januar 2000; AS 1999 1118, 1144) war die Beschwerdegegnerin nach Art. 276 ZGB verpflichtet, für den Unterhalt der Tochter aufzukommen und ihr unentgeltlich Unterkunft zu gewähren. Im Hinblick auf diese zivilrechtliche Unterhaltspflicht hat die Vorinstanz nach dem Gesagten zu Recht entschieden, dass von einer Mietzinsaufteilung gemäss Art. 16c ELV abzusehen ist, woran die Vorbringen der Ausgleichskasse nichts zu ändern vermögen. Wohl können nach Art. 323 Abs. 2 ZGB die Eltern vom Kind, das in häuslicher Gemeinschaft mit ihnen lebt, verlangen, dass es einen angemessenen Beitrag an seinen Unterhalt leistet. Dies setzt indessen voraus, dass das Kind hiezu in der Lage ist und über eigenes Einkommen oder Vermögen verfügt. So verhält es sich hier unbestrittener massen jedoch nicht. (…)" (sottolineature della redattrice). Nella decisione del 13 gennaio 2002 (Inc. n. 33.2001.93) il TCA ha respinto la richiesta di una coppia di assicurati convivente con un'altra coppia di persone, di considerare interamente la pigione a carico del postulante le prestazioni complementari. Anche nella sentenza del 7 gennaio 2003 (Inc. n. 33.2002.72) questo Tribunale Cantonale delle Assicurazioni ha respinto la richiesta di una madre, che condivideva l’appartamento con la figlia maggiorenne, di considerare il canone di locazione interamente a suo carico pur essendo la figlia in attesa di prestazioni AI a seguito di un grave incidente. Nel caso giudicato il 10 giugno 2002 (Inc. n. 33.2001.55) questo Tribunale rammentava come l'UFAS ha commentato l'art. 16c OPC-AVS/AI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Il TCA ha ammesso la divisione per due della pigione - come indicato dall'amministrazione - in un altro caso di convivenza tra madre e figlia (decisione del 14 giugno 2002, Inc. n. 33.2001.82). In altra sentenza dell’11 settembre 2002 il TCA ha ritenuto che due conviventi in età che avevano congiuntamente sottoscritto un contratto di locazione dovevano vedersi imputare la pigione in ragione di ½ ciascuno (Inc. n. 33.2002.25). Ancora, nella S TCA del 28 marzo 2006 (Inc. n. 33.2005.10), il TCA ha negato l'esistenza dell'eccezione al principio della suddivisione della pigione per teste, a motivo che la convivenza della mamma/suocera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Da ultimo, nel giudizio del 6 settembre 2006 (inc. n. 33.2006.5), il TCA ha ritenuto che l'occupazione dell'abitazione da parte del ricorrente ed una signora, che svolgeva le faccende domestiche per conto del primo a causa dei suoi numerosi impedimenti di salute, sia paritaria e che pertanto la pigione lorda andava regolarmente suddivisa in parti uguali fra i due conviventi, non essendo il ricorrente neppure obbligato giuridicamente o moralmente ad ospitare questa signora. All ' assicurato è stata computata a titolo di pigione lorda la metà dell ' intero costo. 9.   Nel caso di specie, pendente causa il TCA ha sottoposto alcuni quesiti all ' insorgente, allo scopo di determinare la suddivisione dello spazio abitabile fra l ' assicurato, la moglie ed eventuali altre persone (doc. XIII). RI 1, classe 1925, ha affermato di convivere con la moglie __________, nata nel 1930 e con la figlia __________, 1963, nubile. A causa dei problemi di cardiopatia cronica che l ' affliggono e delle tre protesi alle ginocchia ed all ' anca della moglie, sofferente inoltre di insufficienza respiratoria che la obbliga a dormire con un apparecchio ed una mascherina, è la figlia ad occuparsi di tutte le faccende domestiche. A specifica domanda della scrivente Corte, il ricorrente ha precisato che sebbene non presti loro cure "particolari" al punto da evitare un ricovero in casa anziani/di cura, tuttavia la figlia è un aiuto fisico e psicologico molto importante. La suddivisione degli spazi abitativi avviene nel modo seguente: la figlia occupa una camera con servizi, la moglie una cameretta e l ' assicurato un a terza camera. L'uso del soggiorno è comune (doc. XIV). Ora, la figlia __________, non beneficiaria di una PC, siccome convivente del ricorrente è quindi per definizione esclusa, come tale, dal calcolo della prestazione complementare annua dell ' assicurato e della di lui moglie (art. 16c cpv. 1 OPC-AVS/AI). In queste circostanze, la sua parte di pigione (1/3) non deve essere presa in considerazione nel calcolo della PC annua dei suoi genitori. Si ottiene così che solo 2/3 della pigione annua lorda (1/3 ciascuno imputabili a RI 1 ed alla moglie __________) devono essere computati a questi ultimi. Nemmeno è infatti data nella presente fattispecie l ' eccezione della situazione di assistenza specifica evocata dal TFA nella sentenza DTF 105 V 272, dove " (…) wohnte ein ausgebildeter Krankenpfleger in der selben Wohnung wie eine pflegebedürftige Bezügerin von Ergänzungsleistungen. Der Pfleger erbrachte kostenlos zahlreiche Hilfeleistungen, ohne welche die EL-Bezügerin in ein Pflegeheim hätte ziehen müssen. Dafür bezahlte er keinen Beitrag an die Miete. Hier rechtfertigte es sich ausnahmsweise, im Sinne eines Ausgleichs der Empfängerin der Ergänzungsleistungen den vollen Mietzins anzurechnen. (…).", come ricorda il TFA medesimo nella sentenza P 26/00 del 26 gennaio 2001 nella causa W., al considerando 2b. Nella situazione concreta i ricorrenti non sono assistiti da terzi e non ricevono cure dalla figlia in sostituzione di prestazioni che altrimenti sarebbero poste a carico di diversi assicuratori sociali. A questo proposito, va osservato che dalla documentazione agli atti risulta che il ricorrente ha dei problemi di salute che egli stesso sintetizza con una cardiopatia cronica (docc. XIV e C1); la moglie soffre invece di insufficienza respiratoria, avendo apnee notturne di tipo ostruttivo di notevole entità tale da necessitare la ventilazione notturna con maschera (docc. XIV e C2). Le malattie di cui sono (purtroppo) afflitti non impediscono comunque agli assicurati di svolgere le normali mansioni quotidiane necessarie per vivere (cucinare, vestirsi, lavarsi, spostarsi sia a piedi che con mezzi di trasporto) e di fare capo a terzi (la figlia) soltanto per l ' esecuzione dei lavori domestici. Di conseguenza, la circostanza che la figlia che coabita con loro si occupa dei lavori domestici (doc. XIV) non è, da sola, un motivo sufficiente per ritenere che nella situazione concreta sia data l ' eccezione al principio stabilito dal citato art. 16c cpv. 2 OPC-AVS/AI. Su quest ' ultima tematica, comunque, va rilevato che gli assicurati nemmeno pretendono o dimostrano il contrario, ossia di avere bisogno di qualcuno che l i assista regolarmente e quotidianamente. 10.   Occorre ancora esaminare se gli assicurati non siano obbligati giuridicamente o moralmente ad ospitare la figlia. Il TCA evidenzia che questa situazione non si realizza nel caso in esame. N on si è infatti di fronte ad una questione in cui la vita in comune è riconducibile ad un obbligo di mantenimento di diritto civile fondato sugli artt. 276 e 277 CC, ritenuto che __________ è maggiorenne avendo 44 anni, è nubile e vive con i genitori per sua scelta aiutandoli fisicamente e psicologicamente (doc. XIV). Inoltre, nemmeno può essere richiamata l'assistenza tra parenti in linea ascendente e discendente ( Basler Kommentar , 2002, ad art. 328 ZGB n. 15) contemplata dall ' art. 328 CC, poiché applicabile soltanto per chi vive in condizioni agiate. Il computo dell'intero canone di locazione a carico dei genitori comporterebbe che essi cadrebbero ancora maggiormente nell'indigenza, considerato che l ' aiuto richiesto allo Stato aumenterebbe (cfr. consid. 8). In proposito va rilevato che siccome il concetto del dovere di assistenza tra parenti è in sé problematico e non si adatta più ai tempi attuali, la nozione di "condizioni agiate" deve essere interpretata in senso stretto. La Conferenza svizzera per l'aiuto sociale 2000, nelle sue direttive in vigore dal 1° gennaio 2001, ha proposto agli organi dell'aiuto sociale di considerare che le persone sono in grado di contribuire al mantenimento dei loro parenti a partire da un reddito imponibile di Fr. 60'000.- per le persone sole e di Fr. 80'000.- per le coppie, a cui si deve aggiungere l'ammontare di Fr. 10'000.- per ogni figlio minorenne o in formazione ( Basler Kommentar , ad art. 328 ZGB n. 15b e n. 17). Nella fattispecie in esame i ricorrenti hanno richiesto l'erogazione di una prestazione complementare, poiché beneficiano di un reddito composto, in sostanza, delle sole rendite AVS. Di conseguenza, i ricorrenti non si trovano manifestamente in condizioni economiche agiate, circostanza che comporta che essi non sono quindi tenuti a soccorrere economicamente la figlia (citata STFA del 9 gennaio 2003, P 76/01; S TCA del 30 gennaio 2003 nella causa C.S-G., Inc. n. 39.2002.8). Visto il particolare stato di salute degli assicurati, il fatto di ospitare la figlia beneficiando soltanto in parte dei suoi servizi (come visto, fortunatamente gli insorgenti non sono nelle condizioni tali da dovere essere assistiti in continuazione da terzi tanto, in mancanza di un aiuto, da dovere essere ricoverati in casa di cura/anziani), nemmeno configura un obbligo morale degli assicurati nei confronti della stessa, quale eventuale controprestazione per una sua (seppure limitata) collaborazione (citata STFA del 9 gennaio 2003, P 76/01; a contrario DTF 105 V 274). Eventualmente, un obbligo morale si avrebbe nel caso inverso, dove è la figlia ad ospitare i genitori malati per aiutarli. Infine, gli assicurati non hanno neppure addotto che la loro figlia, convivente, occuperebbe la maggior parte dell a casa (citata STFA del 9 gennaio 2003, P 76/01, consid. 1.2 e 1.5). Anzi, l ' accertamento eseguito dal TCA ha permesso di confermare che l ' occupazione della casa fra i coabitanti avviene in modo assolutamente equo (doc. XIV). Non v ' è infatti chi – nel senso dei richiedenti delle prestazioni complementari che vengono presi in considerazione per il calcolo delle PC (art. 16c OPC-AVS/AI) – utilizza una parte maggiore della casa e che ciò potrebbe dunque costituire un ' eccezione al citato principio della ripartizione in parti uguali (art. 16c cpv. 2 OPC-AVS/AI). Sulla scorta di quanto precede, discende che tali circostanze permettono di ritenere che l'occupazione dell'abitazione da parte dei tre conviventi sia paritaria e che pertanto la pigione lorda vada regolarmente suddivisa in parti uguali, come ha correttamente effettuato la Cassa. Ritenuto quindi come l ' abitazione in questione sia occupata da tre persone, ma solo due rientrano nel calcolo della PC, a giusta ragione la Cassa ha computato agli assicurati a titolo di pigione lorda due terzi dell ' intera pigione lorda. 11.   Quando un assicurato è proprietario di un bene immobile, nelle sue spese riconosciute vanno ancora aggiunte le spese di manutenzione del fabbricato (art. 3b cpv. 3 lett. b LPC), mentre il reddito non privilegiato è completato con il reddito della sostanza immobile (art. 3c cpv. 1 lett. b LPC). Il reddito della sostanza immobiliare comprende pigioni e canoni d'affitto, usufrutto, diritti d'abitazione nonché il valore locativo della propria abitazione (N. 2092 delle Direttive sulle prestazioni complementari all ' AVS/AI (DPC); Carigiet/Koch , op. cit., Supplemento, pag. 99). Secondo l'art. 12 cpv. 1 OPC-AVS/AI, il valore locativo dell'abitazione occupata dal proprietario o dall'usufruttuario come pure il reddito proveniente dal subaffitto, sono valutati secondo i criteri validi in materia d'imposta cantonale diretta del cantone di domicilio ( Carigiet/Koch , op. cit., Supplemento, pag. 100). In virtù dell ' art. 20 cpv. 1 lett. b LT, è imponibile il reddito da sostanza immobiliare, segnatamente il valore locativo di immobili o di parti di essi, che il contribuente ha a disposizione per uso proprio in forza del suo diritto di proprietà o di un usufrutto ottenuto a titolo gratuito. 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Il valore locativo deve dunque corrispondere di massima alla mercede che, secondo le condizioni di mercato, il proprietario potrebbe richiedere locando lo stesso immobile ad un terzo. Il Tribunale federale ha in particolare precisato che il valore locativo deve equivalere al canone che si potrebbe esigere equamente da un locatario desideroso di assicurarsi il godimento di un oggetto simile, tenendo conto in modo adeguato delle particolarità della costruzione e delle sue installazioni, nella misura in cui esse rispondano ai bisogni normali di un utente di condizioni economiche e sociali analoghe a quelle del proprietario (ASA 15 pag. 361; 438 consid. 1; DTF 69 I 24/25; RDAT II-1996 n. 5t). Fra i diversi metodi di fissazione del valore locativo, nel caso di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In concreto, per determinare il valore locativo dell'abitazione di __________ si fa capo alla più recente notifica di tassazione del ricorrente. Agli atti v ' è la notifica di tassazione IC/IFD 2006 dopo reclamo del 15 agosto 2007 (doc. A1), che contempla un valore locativo di Fr.</w:t>
      </w:r>
    </w:p>
    <w:p>
      <w:r>
        <w:rPr>
          <w:b/>
        </w:rPr>
        <w:t>E. 3.1</w:t>
      </w:r>
    </w:p>
    <w:p>
      <w:r>
        <w:t>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w:t>
      </w:r>
    </w:p>
    <w:p>
      <w:r>
        <w:rPr>
          <w:b/>
        </w:rPr>
        <w:t>E. 3.2</w:t>
      </w:r>
    </w:p>
    <w:p>
      <w:r>
        <w:t>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(sottolineature della redattrice). Al proposito, in un’altra sentenza non pubblicata del 5 luglio 2001 nella causa G. (P 56/00), il TFA, chiamato a statuire sulla deduzione della pigione nel caso di una vedova a beneficio della PC che viveva insieme ad una figlia minorenne proveniente da una relazione extraconiugale, ha rilevato quanto segue: "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w:t>
      </w:r>
    </w:p>
    <w:p>
      <w:r>
        <w:rPr>
          <w:b/>
        </w:rPr>
        <w:t>E. 8</w:t>
      </w:r>
    </w:p>
    <w:p>
      <w:r>
        <w:t>'740 .- . Questa somma deve quindi aggiungersi al reddito non privilegiato degli assicurati, come correttamente eseguito dalla Cassa di compensazione. Per quanto concerne invece il costo della pigione che, come visto, deve essere suddiviso fra i tre inquilini, si parte sempre dal valore locativo di Fr. 8 ' 740.-; poi questo importo va riportato su due terzi, ossia solo sui due beneficiari di PC, ottenendo così una pigione imputabile loro pari a Fr. 5 ' 827.-. Non va poi dimenticato che, conformemente al succitato art. 3b cpv. 1 lett. b LPC, le spese riconosciute per le persone che vivono a casa comprendono, oltre alla pigione di un appartamento, le relative spese accessorie. L ' art. 16a OPC-AVS/AI contempla un forfait annuo di Fr. 1 ' 680.- per le spese accessorie valido per le persone che abitano un immobile di loro proprietà. La summenzionata giurisprudenza relativa all ' ipotesi in cui più inquilini abitino nel medesimo appartamento è stata ripresa al N. 3023 DPC, laddove è previsto quanto segue: " Se più persone abitano in comune in un appartamento o in una casa unifamiliare, la pigione (comprese le spese accessorie) è suddivisa in parti uguali tra le singole persone e così computata per il calcolo della PC annua. Ciò vale anche per le persone che vivono in concubinato. In casi particolari, ad esempio quando una persona occupa la maggior parte dell'alloggio, si può adottare una ripartizione diversa a seconda delle proporzioni reali (DTF 105 V 271 segg.). Non si tiene conto delle parti della pigione pagate dalle persone che non sono comprese nel calcolo della PC.". Nel caso in esame, dunque, ai ricorrenti va computato nella pigione anche l ' importo forfetario di Fr. 1 ' 680.- per spese accessorie. Questa somma deve però anch ' essa essere riportata su due persone (gli assicurati), perciò soltanto l 'ammontare di Fr. 1 ' 120.- (Fr. 1 ' 680.- x 2/3) va aggiunto al valore locativo di Fr. 5 ' 827.- (Fr. 8 ' 740.- x 2/3) ascrivibile a __________ e RI 1. L a somma di Fr. 6 ' 947.- riportata dalla Cassa nella tabella di calcolo come pigione lorda va pertanto confermata. 12.   Per quanto attiene al valore massimo delle spese per la manutenzione di fabbricati previste dall'art. 3b cpv. 3 lett. b LPC, le stesse sono strettamente legate al valore locativo. Infatti, l ' art. 16 cpv. 1 OPC-AVS/AI prevede che le spese di manutenzione sono dedotte in base al tasso forfetario dell ' imposta cantonale diretta fissato dal Cantone di domicilio. Per il Cantone Ticino, la circolare n. 33/1 ACC del 15 gennaio 1985, recepita dalla giurisprudenza della Camera di Diritto Tributario, evidenzia che la deduzione forfetaria è del 15% del valore locativo se l'immobile è stato costruito fino a dieci anni prima dell'inizio del periodo fiscale, mentre è del 25% se la costruzione risale a oltre dieci anni il periodo fiscale di computo. In specie, ne consegue che l'importo computabile agli assicurati a questo titolo è pari a Fr. 2 '1 85.- (25% di Fr. 8 ' 740.-) e come tale va incluso nelle spese riconosciute. Nessun altro importo può essere preso in considerazione, né tanto meno i Fr. 5 ' 568.- posti in deduzione a livello fiscale come preteso dal ricorrente. Anche l ' importo di Fr. 4 ' 392.- relativo agli interessi ipotecari è corretto, consistendo nella somma di Fr. 4 ' 240.- e di Fr. 151,05 (docc. 108 e 109). 13.   Stanti le considerazioni che precedono, le spese riconosciute (fabbisogno) degli assicurati assommano dunque per certo a   Fr. 49'662.- (Fr. 27'210.- + Fr. 8 '928 .- + Fr. 4 ' 392.- + Fr. 2'185.- + Fr. 6 ' 947.-). Gli importi individuati dalla Cassa di compensazione sono quindi corretti. 14.   Per quanto concerne i redditi da conteggiare agli assicurati, di regola, per il calcolo della PC annua sono considerati i redditi determinanti ottenuti nel corso dell'anno civile precedente e lo stato della sostanza al 1° gennaio dell'anno in cui è assegnata la prestazione (art. 23 cpv. 1 OPC-AVS/AI). Nella decisione su opposizione la Cassa di compensazione ha determinato il reddito annuo dei ricorrenti in Fr. 55'011.-, pari ad una sostanza computabile di Fr. 8'711.-, ad una rendita AVS dei coniugi di Fr. 37'560.- ed al valore locativo di Fr. 8'740.-. Gli assicurati contestano questa cifra, sostenendo che le rendite AVS assommano ciascuna a Fr. 18 ' 264.- (doc. A1), perciò complessivamente a Fr. 36 ' 528.-. Il totale dei loro redditi sarebbe dunque pari a Fr. 53 ' 979.-. Ora, se è vero che, generalmente, i redditi da computare sono quelli ottenuti nell'anno precedente l'anno per il quale sono chieste le prestazioni complementari, siccome facilmente deducibili dall'ultima notifica di tassazione a disposizione, è anche vero che, nel caso in esame, si possiedono già gli importi relativi alle rendite pensionistiche dei coniugi per il 2007. Si può quindi fare capo ad essi, alla stessa stregua delle cifre utilizzate per il fabbisogno vitale ed il contributo per l'assicurazione malattia, validi per il 2007. Per contro, è corretto che gli interessi ipotecari si riferiscano al 31 dicembre 2006, non potendo – all'ora attuale - disporre di una cifra più aggiornata; è inoltre giustificato che il valore locativo sia stato desunto dalla IC/IFD 2006, essendo il dato più recente ufficiale a disposizione. Alla luce di quanto precede, i redditi degli assicurati vanno fissati a buon diritto in Fr. 55 '</w:t>
      </w:r>
    </w:p>
    <w:p>
      <w:r>
        <w:rPr>
          <w:b/>
        </w:rPr>
        <w:t>E. 011</w:t>
      </w:r>
    </w:p>
    <w:p>
      <w:r>
        <w:t>. 15.   Come visto in ingresso, la prestazione complementare mensile a cui il ricorrente ha diritto discende dalla differenza fra le uscite e le entrate appena accertate (art. 3a cpv. 1 LPC). In questo senso, i calcoli effettuati dalla Cassa cantonale di compensazione sono dunque perfetti. Poiché i redditi (Fr. 55'011.-) superano le spese riconosciute (Fr. 49'662.-), non v'è spazio per concedere ai ricorrenti una prestazione complementare annua, né tanto meno il pagamento del premio di cassa malati che percepivano prima della revisione del loro diritto alle PC attuato dalla Cassa di compensazione dal 1° luglio 2007. Alla luce di quanto precede il ricorso deve essere respinto e la decisione su opposizione dell 'a mministrazione confermata. Non si prelevano né tasse né spese di giustizia. 16.   Con un reddito imponibile di Fr. 20 ' 100.-, agli assicurati resta sempre aperta la possibilità di chiedere all ' Ufficio assicurazione malattia di Bellinzona la riduzione del premio di cassa malati per il 2007, facendo valere l ' intervenuta cessazione della presa a carico di questo pagamento da parte del Servizio delle prestazioni complementari nel corso dell ' anno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