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33.2006.5 vom 1. September 2006</w:t>
      </w:r>
    </w:p>
    <w:p>
      <w:r>
        <w:t>TI Tribunale d'appello, 2006-09-01, IT</w:t>
      </w:r>
    </w:p>
    <w:p>
      <w:r>
        <w:rPr>
          <w:b/>
        </w:rPr>
        <w:t xml:space="preserve">Quelle: </w:t>
      </w:r>
      <w:r>
        <w:t>https://mcp.opencaselaw.ch/entscheid/ti_gerichte_33.2006.5</w:t>
      </w:r>
    </w:p>
    <w:p>
      <w:r>
        <w:t>FR: TI_GERICHTE 33.2006.5 du 1 septembre 2006</w:t>
      </w:r>
    </w:p>
    <w:p>
      <w:r>
        <w:t>IT: TI_GERICHTE 33.2006.5 del 1 settembre 2006</w:t>
      </w:r>
    </w:p>
    <w:p>
      <w:pPr>
        <w:pStyle w:val="Heading2"/>
      </w:pPr>
      <w:r>
        <w:t>Regeste</w:t>
      </w:r>
    </w:p>
    <w:p>
      <w:r>
        <w:t>Il fabbisogno vitale per concubini è calcolato come per le persone sole.La pigione va suddivisa per due,ma la parte della convivente è esclusa dal calcolo,siccome si occupa solo di faccende domestiche.Spese per l'acquisto di normali occhiali da vista non sono rimborsate.Idem per la visita da ottico.</w:t>
      </w:r>
    </w:p>
    <w:p>
      <w:pPr>
        <w:pStyle w:val="Heading2"/>
      </w:pPr>
      <w:r>
        <w:t>Erwägungen</w:t>
      </w:r>
    </w:p>
    <w:p>
      <w:r>
        <w:rPr>
          <w:b/>
        </w:rPr>
        <w:t>E. 1</w:t>
      </w:r>
    </w:p>
    <w:p>
      <w:r>
        <w:t>dellOrdinanza 05 sulladeguamento delle prestazioni complementari allAVS/AI del 24 settembre 2004).</w:t>
      </w:r>
    </w:p>
    <w:p>
      <w:r>
        <w:t>Questi importi sono validi anche nel 2006.</w:t>
      </w:r>
    </w:p>
    <w:p>
      <w:r>
        <w:t>Per quanto concerne il fabbisogno vitale per le persone sole, il relativo importo è applicato alle persone maggiorenni celibi, vedove o divorziate (N. 2022 DPC). Tale importo è inoltre applicabile ai coniugi che vivono separati, alle persone coniugate il cui coniuge soggiorna per un lungo periodo all'estero o il cui luogo di soggiorno è sconosciuto, nonché allepersone che vivono in concubinato(N. 2024 DPC).</w:t>
      </w:r>
    </w:p>
    <w:p>
      <w:r>
        <w:t>Per il caso in esame, il ricorrente va dunque senza dubbio considerato come unapersona sola, indipendentemente dalla circostanza che coabiti con un'altra persona.</w:t>
      </w:r>
    </w:p>
    <w:p>
      <w:r>
        <w:t>A norma dellart. 5 cpv. 1 lett. b LPC, spetta ai Cantoni stabilire limporto delle spese di pigione fino a concorrenza, in un anno, di Fr. 13'200.- per le persone sole e di Fr. 15'000.- per i coniugi e le persone con figli che hanno o danno diritto ad una rendita.</w:t>
      </w:r>
    </w:p>
    <w:p>
      <w:r>
        <w:t>In ossequio a questa delega legislativa, il Cantone Ticino ha deciso d'applicare i medesimi forfait (cfr. succitatoDecreto cantonale esecutivo del 1° dicembre 2004 concernente la LPC, in vigore dal 1° gennaio 2005, RL 6.4.5.3.2), validi anche per il 2006.</w:t>
      </w:r>
    </w:p>
    <w:p>
      <w:r>
        <w:t>Secondo lart. 16c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(cpv. 1). Di massima, lammontare della pigione è ripartito in parti uguali (cpv. 2).</w:t>
      </w:r>
    </w:p>
    <w:p>
      <w:r>
        <w:t>In una sentenza del 3 gennaio 2001 nella causa A. pubblicata in DTF 127 V 10, il TFA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domestica(RCC 1977 pag. 567, RCC 1974 pag. 512 consid. 2; STCAdell'11 novembre 1991 nella causa A.T., STCAdel 21 febbraio 1992 nella causa A.T.),anche nel caso in cui il contratto di locazione è intestato ad una sola persona (ZAK 1974 pag. 556). Lo stesso vale per i figli a beneficio di una prestazione complementare che vivono con i genitori (ZAK 1977 pag. 245).Secondo lAlta Corte, infatti, ai fini della ripartizione del canone locativo è determinante loccupazione comune dei locali e non tanto la questione di sapere chi ha versato la pigione o ha sottoscritto il contratto (cfr. DTF 105 V 272 consid. 1). Questa giurisprudenza è stata ribadita dal TFA in una sentenza non pubblicata del 30 marzo 2001 nella causa T. (P 2/01).</w:t>
      </w:r>
    </w:p>
    <w:p>
      <w:r>
        <w:t>In una sentenza 9 gennaio 2003 (P 76/01), in un caso ticinese, il Tribunale Federale delle assicurazioni ha stabilito quanto segue:</w:t>
      </w:r>
    </w:p>
    <w:p>
      <w:r>
        <w:t>Al proposito, in unaltra sentenza non pubblicata del 5 luglio 2001 nella causa G. (P 56/00), il TFA, chiamato a statuire sulla deduzione della pigione nel caso di una vedova a beneficio della PC che viveva insieme ad una figlia minorenne proveniente da una relazione extraconiugale, ha rilevato quanto segue:</w:t>
      </w:r>
    </w:p>
    <w:p>
      <w:r>
        <w:t>Nella decisione del 13 gennaio 2002 (Inc. n. 33.2001.93) ilTCAha respinto la richiesta di una coppia di assicurati convivente con un'altra coppia di persone, di considerare interamente la pigione a carico del postulante le prestazioni complementari.</w:t>
      </w:r>
    </w:p>
    <w:p>
      <w:r>
        <w:t>Anche nella sentenza del 7 gennaio 2003 (Inc. n. 33.2002.72) questo Tribunale Cantonale delle Assicurazioni ha respinto la richiesta di una madre, che condivideva lappartamento con la figlia maggiorenne, di considerare il canone di locazione interamente a suo carico pur essendo la figlia in attesa di prestazioni AI a seguito di un grave incidente.</w:t>
      </w:r>
    </w:p>
    <w:p>
      <w:r>
        <w:t>IlTCAha ammesso la divisione per due della pigione - come indicato dall'amministrazione - in un altro caso di convivenza tra madre e figlia (decisione del 14 giugno 2002, Inc. n. 33.2001.82). In altra sentenza dell11 settembre 2002 ilTCAha ritenuto che due conviventi in età che avevano congiuntamente sottoscritto un contratto di locazione dovevano vedersi imputare la pigione in ragione di ½ ciascuno (Inc. n. 33.2002.25).</w:t>
      </w:r>
    </w:p>
    <w:p>
      <w:r>
        <w:t>Da ultimo, nella recente STCAdel 28 marzo 2006 nella causa L.P. e F.P. (Inc. n. 33.2005.10), ilTCAha negato l'esistenza dell'eccezione al principio della suddivisione della pigione per teste, a motivo che la convivenza della mamma/suocera e del nipote con i coniugi richiedenti le PC configurava la situazione opposta a quella che si dovrebbe presentare per poter mettere in pratica la summenzionata eccezione. In questo caso, infatti, i richiedenti convivevano con i loro parenti per aiutarli sia dal profilo fisico che psicologico, e non invece per farsi aiutare da loro. Da essi, non ricevevano quindi alcuna assistenza specifica quale controprestazione per l'ospitalità loro concessa.</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A.________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w:t>
      </w:r>
    </w:p>
    <w:p>
      <w:r>
        <w:rPr>
          <w:b/>
        </w:rPr>
        <w:t>E. 2</w:t>
      </w:r>
    </w:p>
    <w:p>
      <w:r>
        <w:t>per i coniugi, almeno 22035 franchi e al massimo 24435 franchi;</w:t>
      </w:r>
    </w:p>
    <w:p>
      <w:r>
        <w:rPr>
          <w:b/>
        </w:rPr>
        <w:t>E. 3</w:t>
      </w:r>
    </w:p>
    <w:p>
      <w:r>
        <w:t>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woran die Vorbringen der Ausgleichskasse nichts zu ändern vermögen. Wohl können nach Art. 323 Abs. 2 ZGB die Eltern vom Kind, das in häuslicher Gemeinschaft mit ihnen lebt, verlangen, dass es einen angemessenen Beitrag an seinen Unterhalt leistet. Dies setzt indessen voraus, dass das Kind hiezu in der Lage ist und über eigenes Einkommen oder Vermögen verfügt. So verhält es sich hier unbestrittener massen jedoch nicht. (…)" (sottolineature della redattrice). Nella decisione del 13 gennaio 2002 (Inc. n. 33.2001.93) il TCA ha respinto la richiesta di una coppia di assicurati convivente con un'altra coppia di persone, di considerare interamente la pigione a carico del postulante le prestazioni complementari. Anche nella sentenza del 7 gennaio 2003 (Inc. n. 33.2002.72) questo Tribunale Cantonale delle Assicurazioni ha respinto la richiesta di una madre, che condivideva l’appartamento con la figlia maggiorenne, di considerare il canone di locazione interamente a suo carico pur essendo la figlia in attesa di prestazioni AI a seguito di un grave incidente. Nel caso giudicato il 10 giugno 2002 (Inc. n. 33.2001.55) questo Tribunale rammentava come l'UFAS ha commentato l'art. 16c OPC-AVS/AI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Il TCA ha ammesso la divisione per due della pigione - come indicato dall'amministrazione - in un altro caso di convivenza tra madre e figlia (decisione del 14 giugno 2002, Inc. n. 33.2001.82). In altra sentenza dell’11 settembre 2002 il TCA ha ritenuto che due conviventi in età che avevano congiuntamente sottoscritto un contratto di locazione dovevano vedersi imputare la pigione in ragione di ½ ciascuno (Inc. n. 33.2002.25). Da ultimo, nella recente S TCA del 28 marzo 2006 nella causa L.P. e F.P. (Inc. n. 33.2005.10), il TCA ha negato l'esistenza dell'eccezione al principio della suddivisione della pigione per teste, a motivo che la convivenza della mamma/suocera e del nipote con i coniugi richiedenti le PC configurava la situazione opposta a quella che si dovrebbe presentare per poter mettere in pratica la summenzionata eccezione. In questo caso, infatti, i richiedenti convivevano con i loro parenti per aiutarli sia dal profilo fisico che psicologico, e non invece per farsi aiutare da loro. Da essi, non ricevevano quindi alcuna assistenza specifica quale controprestazione per l'ospitalità loro concessa. 9.   Nel caso concreto, dal 1° giugno 2004 al 28 febbraio 2006 l ' assicurato ha locato ad __________ un appartamento di due locali. La pigione ammontava a Fr. 1 ' 030.- al mese, a cui andavano ad aggiungersi mensilmente Fr. 150.- per le spese accessorie di riscaldamento ed acqua calda; un importo forfetario – non quantificato – veniva richiesto per le altre spese (doc. 4 degli atti della Cassa). La pigione annua lorda (pigione netta + spese accessorie) assommava dunque a Fr. 14 ' 160.- (Fr. 12'360.- + Fr. 1 ' 800.-) (doc. 43A degli atti della Cassa). Dal 1° marzo 2006 il ricorrente abita in un appartamento di tre locali ubicato sempre nella medesima palazzina, per una pigione mensile di Fr. 1 ' 200.-, oltre a Fr. 200.- per le spese di riscaldamento ed acqua calda. L'importo annuo della pigione lorda è dunque pari a Fr. 16 '80 0.- (Fr. 14'400.- + Fr. 2 '4 00.-) (doc. 47 della Cassa). Questo appartamento serve da dimora domestica per due persone : il ricorrente ed una signora, che svolge le faccende domestiche per conto del primo, a causa dei suoi numerosi impedimenti di salute (doc. 48). Ora, __________, apparentemente non beneficiaria di una PC, siccome convivente del ricorrente è quindi per definizione esclusa, come tale, dal calcolo della prestazione complementare annua dell ' assicurato RI 1 (art. 16c cpv. 1 OPC-AVS/AI). In queste circostanze, la sua parte di pigione (1/2 per ciascuno) non deve essere presa in considerazione nel calcolo della PC annua dell ' assicurato. Si ottiene così che solo 1/2 della pigione annua lorda di Fr. 16'800.- (1/2 ciascuno imputabili ad RI 1 e __________), pari dunque a Fr. 8'400.- annui, deve essere computata al ricorrente. Nemmeno è infatti data nella presente fattispecie l ' eccezione della situazione di assistenza specifica evocata dal TFA nella sentenza DTF 105 V 272, dove " (…) wohnte ein ausgebildeter Krankenpfleger in der selben Wohnung wie eine pflegebedürftige Bezügerin von Ergänzungsleistungen. Der Pfleger erbrachte kostenlos zahlreiche Hilfeleistungen, ohne welche die EL-Bezügerin in ein Pflegeheim hätte ziehen müssen. Dafür bezahlte er keinen Beitrag an die Miete. Hier rechtfertigte es sich ausnahmsweise, im Sinne eines Ausgleichs der Empfängerin der Ergänzungsleistungen den vollen Mietzins anzurechnen. (…)." come ricorda il TFA medesimo nella sentenza P 26/00 del 26 gennaio 2001 nella causa W., al considerando 2b. A questo proposito, va osservato che dalla documentazione già agli atti e dal certificato medico acquisito dal TCA il 29 agosto 2006 (doc. VIII) presso l ' Ufficio assicurazione invalidità (UAI) - referto allestito il 13 aprile 2004 dal dr. med. __________ e trasmesso all ' UAI dallo stesso assicurato il 23 agosto scorso -, risulta che egli è al beneficio di una rendita d ' invalidità del 50% (doc. A11). Ciò significa che l ' assicurato potrebbe continuare a lavorare per conseguire parte del reddito di cui necessita. Il grado d ' invalidità del 50% e le malattie di cui soffre dimostrano, peraltro, che l ' assicurato è in grado di svolgere le normali mansioni quotidiane necessarie per vivere (cucinare, vestirsi, lavarsi, spostarsi sia a piedi che con mezzi di trasporto che addirittura lui stesso conduce – automobile - o come passeggero - treno) e che fa capo a terzi soltanto per l ' esecuzione dei lavori domestici. Di conseguenza, la circostanza che la signora che coabita con l ui si occupa dei suoi lavori domestici (doc. 48) non è, da sola, un motivo sufficiente per ritenere che nella situazione concreta sia data l ' eccezione al principio stabilito dal citato art. 16c cpv. 2 OPC-AVS/AI. Su quest ' ultima tematica, comunque, va rilevato che egli nemmeno pretende o dimostra il contrario, ossia di aver bisogno di qualcuno che l ' assista regolarmente e quotidianamente. Ad ogni buon conto, il TCA evidenzia che il ricorrente neppure è obbligato giuridicamente o moralmente ad ospitare questa signora. N on si è infatti di fronte ad una questione in cui la vita in comune è riconducibile ad un obbligo di mantenimento di diritto civile. Inoltre, nemmeno può essere richiamata l'assistenza tra parenti in linea ascendente e discendente ( Basler Kommentar , 2002, ad art. 328 ZGB n. 15). Infine, mai l ' assicurato ha addotto che la sua convivente occuperebbe la maggior parte dell a casa (citata STFA del 9 gennaio 2003, P 76/01, consid. 1.2 e 1.5) e che ciò potrebbe dunque costituire un ' eccezione al citato principio della ripartizione in parti uguali (art. 16c cpv. 2 OPC-AVS/AI). Da quanto precede discende che tali circostanze permettono di ritenere che l'occupazione dell'abitazione da parte dei due conviventi sia paritaria e che pertanto la pigione lorda vada regolarmente suddivisa in parti uguali, come ha correttamente effettuato la Cassa. A giusta ragione, all ' assicurato va quindi computata a titolo di pigione lorda la metà dell ' intero costo, ossia l ' importo di Fr.</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(sottolineature della redattrice). Al proposito, in un’altra sentenza non pubblicata del 5 luglio 2001 nella causa G. (P 56/00), il TFA, chiamato a statuire sulla deduzione della pigione nel caso di una vedova a beneficio della PC che viveva insieme ad una figlia minorenne proveniente da una relazione extraconiugale, ha rilevato quanto segue: "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w:t>
      </w:r>
    </w:p>
    <w:p>
      <w:r>
        <w:rPr>
          <w:b/>
        </w:rPr>
        <w:t>E. 8</w:t>
      </w:r>
    </w:p>
    <w:p>
      <w:r>
        <w:t>' 400.- annui ([Fr. 1 '2 00.- x 12 mesi + Fr. 200.- x 12 mesi] : 2 coinquilini). 10.   In merito alla questione della richiesta del supplemento di Fr. 175.- al mese (Fr. 2 ' 100.- annui) per le spese per la dieta, la stessa, come tale, non può essere qui evasa, siccome il ricorrente non ha prodotto il necessario certificato medico (aggiornato al 2006) che attesti la sua necessità di seguire un particolare regime alimentare. La citata dichiarazione del 13 aprile 2004 (doc. VIII) del suo medico curante __________, che attesta la presenza di un diabete mellito di tipo II, non può infatti essere ritenuta come ancora attendibile nel 2006, visti i due anni trascorsi dalla redazione di quel certificato. In questo senso, il ricorrente è invitato a trasmettere alla Cassa cantonale di compensazione un certificato medico recente in questo senso , cosicché l ' Amministrazione potrà valutare se siano dati i presupposti per concedergli questo supplemento per la dieta ed emettere, conseguentemente, una decisione formale impugnabile su questo oggetto. 11.   Da ultimo, il ricorrente pretende il rimborso delle spese per l ' acquisto degli occhiali da vista (doc. A5) e del costo della visita oculistica (doc. A6), per le quali ha prodotto dei preventivi. L ' art. 3d cpv. 1 LPC prevede che i beneficiari di PC hanno diritto al rimborso delle spese dell ' anno civile in corso, debitamente comprovate, in particolare di mezzi ausiliari (lett. e) e di partecipazione alle spese giusta l ' art. 64 LAMal (lett. f). L ' Ordinanza sul rimborso delle spese di malattia e delle spese dovute all ' invalidità in materia di prestazioni complementari (OMPC) precisa i termini per chiedere il rimborso, quali siano le spese contemplate nel diritto al rimborso da parte delle PC ed i mezzi ausiliari a cui si ha diritto. Per ciò che concerne il caso concreto, l ' art. 16 cpv. 1 OMPC specifica che i beneficiari di prestazioni complementari hanno diritto al rimborso delle spese d ' acquisto o alla consegna in prestito dei mezzi ausiliari e degli apparecchi ausiliari (apparecchi di trattamento e di cura) elencati in un determinato allegato (RS 831.301.1). Questo allegato prevede che per gli occhiali per persone affette da afachia provvisori usati subito dopo l ' operazione della cataratta sono rimborsate le spese di noleggio fino ad un massimo di Fr. 60.-. Siccome il ricorrente non indica di aver subìto un intervento di cataratta, appare quindi corretto che il costo dell ' acquisto del paio d ' occhiali per la vista – tuttavia nemmeno comprovato mediante fattura o ricevuta – non gli sia rimborsato dal Servizio delle prestazioni complementari. L ' assicurato neppure può beneficiare del rimborso del costo della visita oculistica, poiché la stessa non è stata effettuata presso un medico oftalmologo, ma un ottico. Infatti, in virtù dell ' art. 6 OMPC, la partecipazione ai costi di malattia ai sensi dell ' art. 64 LAMal è rimborsata soltanto per le prestazioni assunte dall ' assicurazione obbligatoria delle cure medico-sanitarie giusta l ' art. 24 LAMal. 12.   In conclusione, il fabbisogno (le spese) dell ' assicurato deve essere confermato in Fr. 30 ' 432.- , come ha correttamente calcolato la Cassa cantonale di compensazione. 13.   Per quanto concerne i redditi da conteggiare all ' assicurato, di regola, per il calcolo della PC annua sono considerati i redditi determinanti ottenuti nel corso dell'anno civile precedente e lo stato della sostanza al 1° gennaio dell'anno in cui è assegnata la prestazione (art. 23 cpv. 1 OPC-AVS/AI). Nella decisione su opposizione la Cassa di compensazione ha determinato il reddito annuo del ricorrente in Fr. 8'292.-, pari ad una rendita mensile di Fr. 691.-. L' assicurato contesta questa cifra, sostenendo che la stessa, corrispondente alla sua rendita mensile d ' invalidità, dovrebbe in realtà essere pari, visto il suo grado d ' invalidità, al 50% del suo precedente reddito, ossia a Fr. 1 ' 300.- (Fr. 2 ' 600.- x 50%) (doc. I pag. 2 punto 3). Il TCA respinge questa contestazione per due motivi. Il primo, riguarda il concetto stesso d'invalidità, concetto essenzialmente economico, che si misura in base alla riduzione della capacità di guadagno e non secondo il grado di menomazione dello stato di salute . Per valutare il grado d ' invalidità, il reddito che l ' assicurato invalido potrebbe conseguire esercitando l ' attività ragionevolmente esigibile da lui dopo la cura medica e l ' eventuale esecuzione di provvedimenti d ' integrazione, tenuto conto di una situazione equilibrata del mercato del lavoro, è confrontato con il reddito che egli avrebbe potuto ottenere se non fosse diventato invalido (art. 16 LPGA). Di conseguenza, il calcolo proposto dal ricorrente è errato. In secondo luogo, il 24 marzo 2005 (doc. A11) l ' Ufficio assicurazione invalidità di Bellinzona ha emanato una decisione avente effetto dal 1° aprile successivo, secondo cui nel 2005 il ricorrente avrebbe percepito una rendita semplice d ' invalidità di Fr. 691.- al mese, dato il suo grado d ' invalidità del 50%. Se l ' assicurato non era d ' accordo con questo importo, doveva contestarlo a quel momento nei modi e nei tempi appositamente previsti. Egli è ora malvenuto a criticare in questa sede, ed a più di un anno di distanza dall ' emanazione di questa decisione, l ' importo della rendita che gli è stata concessa (Fr. 8 ' 292.- ) che, come tale, va pertanto a buon diritto posta nei suoi redditi. Anche la somma dei redditi computata dalla Cassa va pertanto confermata alla base del calcolo delle prestazioni complementari spettanti all ' assicurato. 14.   Come visto in ingresso, la prestazione complementare mensile a cui il ricorrente ha diritto discende dalla differenza fra le uscite e le entrate appena accertate (art. 3a cpv. 1 LPC). In questo senso, i calcoli effettuati dalla Cassa cantonale di compensazione sono dunque perfetti (doc. A10). Stanti così le cose, il ricorso è integralmente respinto e la decisione impugnata confermata. Non si prelevano né tasse né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