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33.2004.7 vom 4. August 2004</w:t>
      </w:r>
    </w:p>
    <w:p>
      <w:r>
        <w:t>TI Tribunale d'appello, 2004-08-04, IT</w:t>
      </w:r>
    </w:p>
    <w:p>
      <w:r>
        <w:rPr>
          <w:b/>
        </w:rPr>
        <w:t xml:space="preserve">Quelle: </w:t>
      </w:r>
      <w:r>
        <w:t>https://mcp.opencaselaw.ch/entscheid/ti_gerichte_33.2004.7</w:t>
      </w:r>
    </w:p>
    <w:p>
      <w:r>
        <w:t>FR: TI_GERICHTE 33.2004.7 du 4 août 2004</w:t>
      </w:r>
    </w:p>
    <w:p>
      <w:r>
        <w:t>IT: TI_GERICHTE 33.2004.7 del 4 agosto 2004</w:t>
      </w:r>
    </w:p>
    <w:p>
      <w:pPr>
        <w:pStyle w:val="Heading2"/>
      </w:pPr>
      <w:r>
        <w:t>Regeste</w:t>
      </w:r>
    </w:p>
    <w:p>
      <w:r>
        <w:t>restituzione di un termine. Un termine legale non può essere prorogato. Donazione di un immobile con come contropartita un diritto d'abitazione sullo stesso. Il diritto d'abitazione è personale e non trasferibile, quindi se l'assicurato si trasferisce in casa per anziani,il suo valore diventa nullo</w:t>
      </w:r>
    </w:p>
    <w:p>
      <w:pPr>
        <w:pStyle w:val="Heading2"/>
      </w:pPr>
      <w:r>
        <w:t>Erwägungen</w:t>
      </w:r>
    </w:p>
    <w:p>
      <w:r>
        <w:rPr>
          <w:b/>
        </w:rPr>
        <w:t>E. 17</w:t>
      </w:r>
    </w:p>
    <w:p>
      <w:r>
        <w:t>cpv. 1 OPC-AVS/AI, " La valutazione della sostanza computabile deve essere effettuata secondo le regole stabilite dalla legislazione sull'imposta cantonale diretta del Cantone di domicilio." Se la sostanza immobiliare serve da abitazione all'assicurato, si applica dunque questo capoverso. Esso vuole facilitare l'amministrazione cantonale nell'accertamento della sostanza, permettendole di riprendere il valore direttamente dalla tassazione fiscale, senza dover ricalcolare lei stessa l'importo da computare (RCC 1991 pag. 422). Secondo la volontà del legislatore, quindi, dal 1° gennaio 1992 la sostanza deve essere, di principio, esposta al valore considerato in sede fiscale cantonale prima della deduzione degli importi esenti da imposta (N. 2109 DPC). A norma dell'art. 52 cpv. 1 LT, gli immobili ed i loro accessori nel Cantone sono imposti per il valore di stima ufficiale. Ne consegue che la sostanza immobiliare è computata sulla base del suo valore di stima ufficiale (STFA 8 ottobre 1992 nella causa N.G., pubblicata in RDAT I-1993, pag. 232). Inoltre, a norma dell'art. 17 cpv. 5 OPC-AVS/AI, "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Per quanto attiene alla modalità di calcolo della sostanza alienata, si rileva che ai sensi dell’art. 3a cpv. 7 lett. b LPC, il Consiglio federale disciplina la valutazione dei redditi determinanti, delle spese riconosciute, nonché della sostanza. Si evidenzia in primis come il rinunciare alla propria sostanza comporti contestualmente per il richiedente di una prestazione complementare una riduzione di Fr. 10'000.- annui del valore dei propri beni alienati (art. 17a cpv. 1 OPC-AVS/AI entrato in vigore il 1° gennaio 1990). Il valore della sostanza al momento della rinuncia deve essere riportato invariato al 1° gennaio dell'anno che segue la rinuncia e successivamente ammortizzato di Fr. 10'000.- ogni anno (cpv. 2) fino al 1° gennaio dell'anno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federale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2.15.   Come evocato nei considerandi di fatto, RI 1 ha donato nel 1995 alle figlie la proprietà di __________, formante il mappale n. __________, trattenendo per sé un diritto di abitazione sull'immobile. Come già esposto al considerando 2.14., il reddito della sostanza immobiliare comprende pigioni e canoni d'affitto, usufrutto, diritti d'abitazione nonché il valore locativo della propria abitazione (art. 3c cpv. 1 lett. b LPC). Da ciò emerge che non solo il valore locativo del proprietario, ma anche quello dell'usufrutturario e del beneficiario di un diritto di abitazione va computato. Inoltre, il valore locativo dell'abitazione occupata dal proprietario o dall'usufruttuario come pure il reddito proveniente dal subaffitto sono valutati secondo i criteri validi in materia d'imposta cantonale diretta del cantone di domicilio (art. 12 cpv. 1 OPC-AVS/AI).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Infine, come già rilevato, per stabilire la sostanza ed i redditi di un assicurato si può far capo alla sua ultima tassazione fiscale (art. 23 cpv. 2 OPC-AVS/AI). Per determinare il reddito della particella n. __________ RFD di __________, di proprietà delle figlie del ricorrente, ma sulla quale quest'ultimo, come visto, ha mantenuto un diritto d'abitazione, questo Tribunale si basa dunque sulla notifica di tassazione 2001/2002 presente agli atti della Cassa (doc. 10) e non sulla recente decisione di tassazione 2003B (doc. XII/1-5). Infatti, l'ultima tassazione mostra che per l'utilizzo della casa di __________ durante l'anno 2003 la figlia del ricorrente – malgrado egli benefici tuttora di un diritto d'abitazione su di essa - ha pagato a quest'ultimo una locazione annua di Fr. 17'400.-. Tuttavia, ai fini del giudizio importa invece il reale valore locativo dell'immobile e non il risultato degli accordi conclusi dall' (a favore dell') assicurato, per si deve ritenere la precedente tassazione dalla quale emerge un valore locativo (reddito lordo della sostanza) di Fr. 23'000.- (posta n. 211), che va così posto alla base della presente decisione. 2.16.   La scrivente Corte ha verificato pendente causa (doc. IX) che al momento in cui l'amministrazione ha emanato la decisione impugnata, l'insorgente era ancora iscritto a Registro Fondiario come beneficiario vita natural durante di un diritto d'abitazione sul fondo donato alle figlie nel 1995. Il diritto d'abitazione è una servitù che conferisce ad una determinata persona la facoltà di abitare in un edificio o in una parte di esso (art. 776 CC). In quanto diritto reale, il diritto d'abitazione è un diritto assoluto che si impone nei confronti di qualsiasi persona (STEINAUER, Les droit réels, Berna 1992, Tome I, n. 19 segg.). Tuttavia, esso non comporta il potere di disporre dell'immobile gravato, né in fatto né in diritto (STEINAUER, op. cit., Tome III, n. 2402 segg.). Esso è costituito tramite l'iscrizione a RF, la quale è richiesta dal proprietario (STEINAUER, op. cit., Tome III, n. 2019). Il TCA constata che il controvalore del diritto d'abitazione non può di regola essere conteggiato come reddito ad un avente diritto che non può più farne uso per motivi di salute (RCC 1974 pag. 195; N. 2094 DPC). In effetti, dal momento in cui l'assicurato si trasferisce in casa per anziani, il diritto d'abitazione di cui beneficiava diventa privo di valore economico. In tal caso, la rinuncia al diritto di abitazione è irrilevante ai fini del calcolo della PC. Trattandosi infatti di un diritto personale non trasferibile (art. 776 cpv. 2 CC), l'assicurato non potrebbe in alcun modo trarne vantaggio, ad esempio cedendo in locazione l'appartamento, diversamente da quanto accade per il diritto d'usufrutto (art. 758 CC). In altri termini, dall'istante del suo trasferimento in una casa per anziani, il valore del diritto di abitazione diventa nullo. Diverso è invece il discorso se si fosse trattato di un diritto d'usufrutto, che non è personale e che quindi l'interessato potrebbe riutilizzare per esempio tramite la conclusione di un contratto di locazione o tramite la sua cessione. Nel caso in esame, RI 1 non ha dovuto rinunciare al diritto d'abitazione per motivi di salute ma, per suo stesso dire, ha scelto autonomamente di non abitare più nell'immobile gravato, per "ragioni economiche". Egli ha preferito pagare una pigione per un altro appartamento, piuttosto che abitare in casa propria gratuitamente. In tale circostanza, il controvalore del diritto d'abitazione pari a Fr. 23'000.-, e non a Fr. 18'000.- come indicato dalla Cassa, va conteggiato nei redditi non privilegiati a titolo di reddito lordo proveniente dalla sostanza immobiliare (art. 3c cpv. 1 lett. b LPC). Alla luce di quanto precede, quindi, anche senza considerare la sostanza immobiliare alienata e quella mobiliare indicata come spesa, a fronte di un reddito non privilegiato pari a Fr. 43'880.- (Fr. 23'000.- per il diritto d'abitazione + Fr. 20'880.- per la rendita AVS), le spese riconosciute ammontano a Fr. 39'934.- (cfr. consid. 2.17.). Già con questi soli due elementi i redditi del ricorrente superano le spese riconosciute, non permettendo conseguentemente a RI 1 di potere beneficiare di prestazioni complementari. 2.17.   Giusta l'art. 778 CC, l'usuario di un diritto d'abitazione è tenuto a sopportare le spese per la manutenzione ordinaria del bene concessogli. In proposito, l'assicurato ha precisato che dal 1995 al 2001 i lavori di manutenzione della casa edificata sulla part. n. __________ RFD di __________, sono stati eseguiti a sue spese. Egli ha fornito una distinta dei costi da esso sopportati. Siccome con la percezione della sola rendita AI – divenuta AVS nel 2003 - egli non riusciva più a far fronte ai costi generati da questo fondo, l'interessato si è trasferito in un appartamento a __________, pagando metà del canone (docc. 32-36 della Cassa). Per quanto attiene al valore massimo delle spese per la manutenzione di fabbricati riconosciuti dalla LPC,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In specie entra in linea di conto il 25% del valore locativo. Pertanto, ai fini del calcolo della PC a favore dell'assicurato, la scrivente Corte computa a quest'ultimo, quale fabbisogno, delle spese di manutenzione pari a Fr. 5'750.- (Fr. 23'000.- x 25%). Di conseguenza, il totale delle spese riconosciute assomma a  Fr. 39'934.- (Fr. 17'300.- per il limite di reddito + Fr. 3'684.- per la cassa malati + Fr. 13'200.- per la pigione + Fr. 5'750.-). In caso di deducibilità della pigione è ammesso solo l'importo massimo riconosciuto (RDAT I-2002 pag. 492). 2.18.   In queste circostanze l'insorgente non ha diritto ad alcuna prestazione complementare. Il suo ricorso va quindi interamente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