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33.2003.3 vom 11. Dezember 2002</w:t>
      </w:r>
    </w:p>
    <w:p>
      <w:r>
        <w:t>TI Tribunale d'appello, 2002-12-11, IT</w:t>
      </w:r>
    </w:p>
    <w:p>
      <w:r>
        <w:rPr>
          <w:b/>
        </w:rPr>
        <w:t xml:space="preserve">Quelle: </w:t>
      </w:r>
      <w:r>
        <w:t>https://mcp.opencaselaw.ch/entscheid/ti_gerichte_33.2003.3</w:t>
      </w:r>
    </w:p>
    <w:p>
      <w:r>
        <w:t>FR: TI_GERICHTE 33.2003.3 du 11 décembre 2002</w:t>
      </w:r>
    </w:p>
    <w:p>
      <w:r>
        <w:t>IT: TI_GERICHTE 33.2003.3 del 11 dicembre 2002</w:t>
      </w:r>
    </w:p>
    <w:p>
      <w:pPr>
        <w:pStyle w:val="Heading2"/>
      </w:pPr>
      <w:r>
        <w:t>Regeste</w:t>
      </w:r>
    </w:p>
    <w:p>
      <w:r>
        <w:t>Sentenza o decisione senza scheda</w:t>
      </w:r>
    </w:p>
    <w:p>
      <w:pPr>
        <w:pStyle w:val="Heading2"/>
      </w:pPr>
      <w:r>
        <w:t>Erwägungen</w:t>
      </w:r>
    </w:p>
    <w:p>
      <w:r>
        <w:rPr>
          <w:b/>
        </w:rPr>
        <w:t>E. 12</w:t>
      </w:r>
    </w:p>
    <w:p>
      <w:r>
        <w:t>e pag. 460 nota 83). I limiti di redditi rivestono pertanto una doppia funzione e meglio quella di limite dei bisogni e di reddito minimo garantito (DTF 121 V 204; Pratique VSI 1995 p. 52 e 176; 1994 p. 225; RCC 1992 p. 225). 2.4.   Nel merito l’art. 2a LPC prevede che hanno diritto alle prestazioni le persone che beneficiano di una rendita di vecchiaia dell’AVS, e secondo l’art. 3a LPC " L'importo della prestazione complementare annua deve corrispondere alla differenza tra l'eccedenza delle spese riconosciute e i redditi (cpv. 1)."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In concreto la signora __________ non contesta, a giusto titolo, il calcolo del fabbisogno costituito dal minimo vitale valido per il 2002, dal premio di Cassa Malati e dalla pigione annua lorda. Contestato è il fatto che l'amministrazione abbia considerato il valore commerciale del bene immobile donato dalla signora __________ al figlio e non invece il valore di stima. Va rammentato ancora come lo scopo della PC sia quello di garantire un reddito minimo (Pratique VSI 1994 pg. 225). Si osserva in proposito che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La giurisprudenza si è limitata a riconoscere l'applicabilità dell'art. 3c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Ergänzungsleistungen zur AHV/IV, Supplemento, Zurigo 2000, pag. 100).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DPC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In conclusione, quindi, lo scopo dell’art. 3c cpv. 1 lett. g LPC consiste avantutto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e seg. consid. 5c). 2.7.   Nel caso in esame è dimostrato che __________ ha donato al figlio il mappale __________RFD __________, ossia un prato di 385 mq situato in zona R2 con un indice di occupazione del 30% ed un indice di sfruttamento di 0,4 e quindi con possibilità edificatorie interessanti (fino a 8 ml in altezza con distanza dal confine di 4 ml). La zona dove è ubicato il fondo __________, ossia la zona bassa di __________, è caratterizzata da case unifamiliari, l'accesso al fondo è veicolare ed il mappale confina con proprietà private e la strada comunale. La vista è aperta sul lago di __________ ed il terreno è esposto al sole. Quali connotazioni negative vanno ritenute la pendenza e la forma irregolare oltre qualche immissione fonica dall'aereoporto. Stante quanto esposto al punto precedente è necessario verificare se la ricorrente invochi a ragione la computazione del solo valore di stima del terreno.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La Cassa ha quindi rettamente fatto allestire una valutazione del terreno per stabilirne il valore commerciale. Nel loro esame gli esperti dell'Ufficio di Stima hanno ampiamente considerato gli elementi caratterizzanti il fondo in questione, le sue caratteristiche morfologiche, la sua esposizione, la edificabilità, la possibilità di giungere al terreno grazie ad una strada comunale gli oneri gravanti il fondo, la sua pendenza e certe immissioni. In valore dato è di 300.-- fr. al ml. 2.8.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2.9.   Nel caso concreto gli esperti incaricati hanno considerato tutti gli elementi di rilievo importanti per la determinazione del valore dell'immobile. Il valore ritenuto appare adeguato e considera tutti gli elementi abitualmente considerati per la determinazione dei valori di terreni non edificati. Alla luce di ciò questo TCA si allinea alle valutazioni tecniche che, d'altra parte, la ricorrente non ha minimamente contestato. 2.10.   A giusta ragione quindi la CCC ha considerato il valore di CHF 115'000.-- cui ha aggiunto i risparmi della ricorrente. Dalla sostanza è stata dedotta la franchigia di CHF 25'000.--. L'importo netto della sostanza assommato alle rendite percepite non consente, anche senza considerare il reddito ipotetico della sostanza, di concedere una rendita di PC. Il ricorso va respinto senza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