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33.2003.11 vom 11. Dezember 2002</w:t>
      </w:r>
    </w:p>
    <w:p>
      <w:r>
        <w:t>TI Tribunale d'appello, 2002-12-11, IT</w:t>
      </w:r>
    </w:p>
    <w:p>
      <w:r>
        <w:rPr>
          <w:b/>
        </w:rPr>
        <w:t xml:space="preserve">Quelle: </w:t>
      </w:r>
      <w:r>
        <w:t>https://mcp.opencaselaw.ch/entscheid/ti_gerichte_33.2003.11</w:t>
      </w:r>
    </w:p>
    <w:p>
      <w:r>
        <w:t>FR: TI_GERICHTE 33.2003.11 du 11 décembre 2002</w:t>
      </w:r>
    </w:p>
    <w:p>
      <w:r>
        <w:t>IT: TI_GERICHTE 33.2003.11 del 11 dicembre 2002</w:t>
      </w:r>
    </w:p>
    <w:p>
      <w:pPr>
        <w:pStyle w:val="Heading2"/>
      </w:pPr>
      <w:r>
        <w:t>Regeste</w:t>
      </w:r>
    </w:p>
    <w:p>
      <w:r>
        <w:t>Sentenza o decisione senza scheda</w:t>
      </w:r>
    </w:p>
    <w:p>
      <w:pPr>
        <w:pStyle w:val="Heading2"/>
      </w:pPr>
      <w:r>
        <w:t>Erwägungen</w:t>
      </w:r>
    </w:p>
    <w:p>
      <w:r>
        <w:rPr>
          <w:b/>
        </w:rPr>
        <w:t>E. 1</w:t>
      </w:r>
    </w:p>
    <w:p>
      <w:r>
        <w:t>Le decisioni possono essere impugnate entro trenta giorni facendo opposizione presso il servizio che le ha notificate; fanno eccezione le decisioni processuali e pregiudiziali.</w:t>
      </w:r>
    </w:p>
    <w:p>
      <w:r>
        <w:rPr>
          <w:b/>
        </w:rPr>
        <w:t>E. 1.00</w:t>
      </w:r>
    </w:p>
    <w:p>
      <w:r>
        <w:t>ai CHF 25.--. Il perito ha pure evidenziato terreni edificabili, quali ad esempio i mappali __________e __________RFP __________ siti in zona artigianale con interessante possibilità di sfruttamento con valutazione di CHF 180.-- il mq. I fondi siti in zona forestale sono stati valutati con prudenza dai CHF -.20 ai CHF -.50 il mq. Come evidenziato in corso di motivazione solo il fondo __________RFD è stato considerato al valore di stima. Per questo mappale il valore è di CHF 54'164.-- a carico della ricorrente. Per quanto attiene gli ulteriori fondi edificati il perito si è basato, per la sua valutazione, sulle dimensioni del sedime il suo inserimento nel P.R., l'ubicazione del fondo, la forma, i confini, gli accessi, le immissioni, le infrastrutture esistenti, la sistemazione del terreno, le caratteristiche della costruzione, le installazioni e la suddivisione interna. Contrariamente a quanto asserisce genericamente la signora __________ nell'impugnativa il perito ha considerato sia i luoghi dove sono stati ubicati i terreni, che lo stato di conservazione degli edifici rispettivamente il loro utilizzo ed il loro inserimento nel P.R. Le perizie appaiano poi complete, esaurienti, specifiche e dettagliate. 2.10.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2.11.   Questo TCA, dopo avere esaminato nel dettaglio i referti peritali, anche alla luce della genericità delle critiche formulate dalla ricorrente e dall'assenza di elementi oggettivi atti a contestare il lavoro dei tecnici, conclude per la piena affidabilità del lavoro peritale che appare - lo si ripete - completo esaustivo ed obbiettivo. La sostanza ritenuta dal perito va quindi condivisa. Questa sostanza deve essere quindi computata nel calcolo del reddito non privilegiato e ciò dopo aggiunta dell'importo dei depositi a risparmio e contanti, da un lato, e dopo avere dedotto la franchigia di CHF 25'000.--. La Cassa non ha dedotto null'altro mentre avrebbe dovuto considerare - ritenuta la donazione avvenuta nel 1996 - ulteriore elemento deduttivo. A proposito delle valutazioni immobiliari va rammentato che la prestazione complementare persegue lo scopo di garantire un reddito minimo (Pratique VSI 1994 pag. 225). Di principio, per il calcolo della prestazione, vengono presi in considerazione solo quegli attivi che l'assicurato ha effettivamente ricevuto e di cui può disporre senza restrizioni (AHI Praxis 1995 pag. 166 consid. 2a; RDAT I 1992 pag. 154; RCC 1984 pag. 189; WERLEN, Der Anspruch auf Ergänzungsleistungen, Baden 1995, pag. 156/166; ZAK 189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relativa alla 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Si evidenzia, infine, come il rinunciare alla propria sostanza comporti contestualmente per il richiedente di una prestazione complementare una riduzione di Fr. 10'000.-- annui del valore dei propri beni alienati (art. 17a cpv. 1 OPC-AVS/AI entrato in vigore il 1° gennaio 1990). Il valore della sostanza alienata deve essere riportato invariato al 1° gennaio dell'anno che segue la rinuncia e successivamente ammortizzato di Fr. 10'000.-- ogni anno (cpv. 2) fino all'anno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 casu, dunque, l'amministrazione avrebbe dovuto ridurre di 10'000.-- la sostanza a partire dall'anno successivo alla donazione. Tale deduzione è comunque del tutto ininfluente sul risultato finale, in effetti l'incidenza della sostanza è tale che anche con una diminuzione come quella che si imponeva il risultato non muta e la prestazione complementare non può essere concessa. 2.12.   Circa il computo della sostanza va rammentato alla ricorrente che lo stesso non va confuso con il rendimento della sostanza stessa. Come indicato in precedenza la sostanza come tale va presa in considerazione nella misura del 10 % come impone l'art. 3c LPC. Oltre a tale computo della sostanza va ancora aggiunto il reddito della sostanza. A tale proposito va rammentato che ai sensi dell'art. 3c cpv. 1 lett. b LPC detto reddito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2.13.   Nel caso concreto, anche volendo considerare la sostanza limitatamente 388'076.-- ed anche senza prendere in considerazione il reddito della stessa, il computo della sostanza (10 %) imposto dalla legge, supera il fabbisogno non contestato dalla ricorrente. Il gravame va allora respinto senza carico di tasse e spese e senza riconoscimento di ripetibili.</w:t>
      </w:r>
    </w:p>
    <w:p>
      <w:r>
        <w:rPr>
          <w:b/>
        </w:rPr>
        <w:t>E. 2</w:t>
      </w:r>
    </w:p>
    <w:p>
      <w:r>
        <w:t>Le decisioni su opposizione vanno pronunciate entro un termine adeguato. Sono motivate e contengono un avvertimento relativo ai rimedi giuridici.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gli importi massimi destinati alla copertura del fabbisogno vitale sono fissati a Fr. 16'880.- per persone sole, Fr. 25’320.- per coniugi e, per orfani e figli che danno diritto ad una rendita per figli AVS o dell’AI, a Fr. 8'850.- (cfr. art. 1 dell’Ordinanza 01 sull’adeguamento delle prestazioni complementari all’AVS/AI del 18 settembre 2000). 2.7.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2.8.   La ricorrente censura la decisione della Cassa nella misura in cui la stessa ha considerato la sostanza immobiliare già di sua proprietà nella misura del 10 % nel computo del reddito non privilegiato. A tal proposito va rammentato alla signora __________ che giusta l’art. 17 cpv. 4 OPC-AVS/AI, la sostanza immobiliare che non serve d'abitazione al richiedente o a una persona compresa nel calcolo delle PC deve essere computata al valore corrente. Nel caso in esame __________ disponeva, sino al giugno 1996, di numerosi fondi e meglio: mappale      __________ RFP __________ " __________"                     " "              __________ "                     " "             __________ 1/2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          __________ "                     "    (per 1/4 della ricorrente) "          __________ "                     " "          __________ "                     " "          __________ "                     " "          __________ "                     " "          __________ "                     " "          __________ "                     " "          __________ "                     " "          __________ "                     " "          __________ "                     " "          __________ "                     " "          __________ 1/4 "                     " "          __________ 3/5 "                     " "          __________ "                     " "          __________ 1/8 "                     " "          __________ 3/8 "                     " "          __________ 5/8 "                     " "          __________ 1/4 "                     " "          __________3/4 "          __________ "                     " "          __________ "                     " "          __________ "                     " "          __________ "                     " "          __________ "                     " " __________"                     " in comproprietà con __________ in ragione di 1/2, mentre disponeva quale proprietario al 100 % dei seguenti beni immobili: mappale __________RFP      __________ "          __________"             " "        __________"             " "        __________"             " "        __________"             " "        __________ "             " "        __________ "             "  3/6 Confermandosi all'art.  17 cpv. 4 OPC - AVS / AI l'amministrazione ha quindi computato il valore commerciale dei beni fatto salvo il valore di stima per uno di essi.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proposito si osserva ancora che il TFA, in un caso riguardante il Canton Ticino in cui il ricorrente aveva contestato la valutazione immobiliare operata dall’Ufficio cantonale di stima, ha confermato l’operato dei periti (STFA del 27 febbraio 1998 in re S.S.). 2.9.   Nel caso di specie l'Ufficio Stima ha determinato la sostanza globale alienata dalla ricorrente in CHF 463'461.--. Con il gravame la signora __________ evidenzia come la proprietà immobiliari siano state sopravalutate e computate in maniera non precisa. Va qui evidenziato come la critica formulata dalla ricorrente appaia generica e come la signora __________ non apporti alcun elemento oggettivo atto a suffragare la sua tesi. Contrariamente alla tesi ricorsuale il perito ha valutato per tutte le numerose particelle sia l'estensione che l'ubicazione, l'inserimento nel PR, la forma, i confini ed accessi - con valutazione maggiore se l'accesso è veicolare -, la pendenza o meno del terreno. Molti dei fondi di cui si tratta sono terreni siti fuori dalla zone edificabili, gli appezzamenti hanno superfici variabili dai pochi metri quadri grandi estensioni. A dipendenza di tali caratteristiche il valore al mq è stato ritenuto dai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