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33.2002.68 vom 17. März 2003</w:t>
      </w:r>
    </w:p>
    <w:p>
      <w:r>
        <w:t>TI Tribunale d'appello, 2003-03-17, IT</w:t>
      </w:r>
    </w:p>
    <w:p>
      <w:r>
        <w:rPr>
          <w:b/>
        </w:rPr>
        <w:t xml:space="preserve">Quelle: </w:t>
      </w:r>
      <w:r>
        <w:t>https://mcp.opencaselaw.ch/entscheid/ti_gerichte_33.2002.68</w:t>
      </w:r>
    </w:p>
    <w:p>
      <w:r>
        <w:t>FR: TI_GERICHTE 33.2002.68 du 17 mars 2003</w:t>
      </w:r>
    </w:p>
    <w:p>
      <w:r>
        <w:t>IT: TI_GERICHTE 33.2002.68 del 17 marzo 2003</w:t>
      </w:r>
    </w:p>
    <w:p>
      <w:pPr>
        <w:pStyle w:val="Heading2"/>
      </w:pPr>
      <w:r>
        <w:t>Regeste</w:t>
      </w:r>
    </w:p>
    <w:p>
      <w:r>
        <w:t>Sentenza o decisione senza scheda</w:t>
      </w:r>
    </w:p>
    <w:p>
      <w:pPr>
        <w:pStyle w:val="Heading2"/>
      </w:pPr>
      <w:r>
        <w:t>Erwägungen</w:t>
      </w:r>
    </w:p>
    <w:p>
      <w:r>
        <w:rPr>
          <w:b/>
        </w:rPr>
        <w:t>E. 2</w:t>
      </w:r>
    </w:p>
    <w:p>
      <w:r>
        <w:t>. Des dérogations sont possibles, d'où l'utilisation de l'expression "en principe". La norma citata ha in pratica codificato quanto stabilito in precedenza dalla giurisprudenza federale. Secondo il TFA, infatti, il canone di locazione deve essere suddiviso in parti uguali tra le persone che occupano l'alloggio (RCC 1977 pag. 567, RCC 1974 pag. 512 consid. 2; STCA 11 novembre 1991 in re A.T., STCA 21 febbraio 1992 in re A.T.), anche nel caso in cui il contratto di locazione è intestato ad una sola persona (ZAK 1974 pag. 556). Lo stesso vale per i figli a beneficio di una prestazione complementare che vivono con i genitori (ZAK 1977 pag. 245). Una deroga a tale principio è concessa solo entro certi limiti e dev’essere ammessa con prudenza, ad esempio se uno degli inquilini occupa da solo gran parte dell’abitazione. Un’eccezione è parimenti ammessa quando una persona accoglie gratuitamente nell’abitazione un’altra, poiché vi è obbligata moralmente o giuridicamente (DTF 105 V 273). In quest’ultimo caso il TFA ha ammesso l’eccezione alla suddivisione in parti uguali del canone di locazione, in quanto la titolare del contratto di locazione, affetta da disturbi fisici e psichici, necessitava forzatamente delle cure erogatele dalla persona che divideva con lei l’appartamento, in caso contrario avrebbe dovuto essere ricoverata in istituto. Tali cure risultavano quindi di grande importanza per l’assicurata, che aveva un grosso debito di riconoscenza nei confronti dell’amico (DTF 105 V 274). In specie, per ammissione stessa dell'insorgente come pure dall'attestazione del Comune di __________ (doc. _), risulta che nell'abitazione di __________ di proprietà del ricorrente abiti pure __________. Quest'ultima condivide dunque l'abitazione con il ricorrente. Ciò stante, ritenuto come l'abitazione in questione sia occupata da due persone, ma che __________ sia esclusa dal calcolo delle PC per cui la sua parte di pigione non può essere presa in considerazione (art. 16c cpv. 1 OPC-AVS/AI), a giusta ragione la Cassa ha computato all'assicurato a titolo di pigione lorda solo la metà ciò che corrisponde all'importo di Fr. 5'640.- annui (1/2 x Fr. 11'280.-), e non di Fr. 5'720.- come determinato dalla Cassa. 2.14.   Inoltre, per quanto attiene al valore massimo delle spese per la manutenzione di fabbricati previste dall'art. 3b cpv. 3 lett. b LPC, le stesse sono strettamente legate al valore locativo. Infatti, la circolare n. 33/1 ACC del 15 gennaio 1985, recepita dalla giurisprudenza della Camera di Diritto Tributario, evidenzia che la deduzione forfettaria è del 15% del valore locativo se l'immobile è stato costruito fino a dieci anni prima dell'inizio del periodo fiscale, mentre è del 25% se la costruzione risale a oltre dieci anni il periodo fiscale di computo. Ne consegue che l'importo computabile a questo titolo è in specie pari a Fr. 2'400.- (25% di Fr. 9'600.-) e come tale va incluso nelle spese riconosciute, quindi nel fabbisogno del richiedente. 2.15.   Bisogna ancora verificare gli interessi ipotecari e gli altri interessi passivi fissati dalla Cassa. Dagli atti presenti nell'incarto della Cassa emerge che il ricorrente ha acceso il mutuo ipotecario n. __________presso __________. Al 31 dicembre 2000 il saldo era di Fr. 10'000.- e gli interessi passivi erano pari a Fr. 555,45 (cfr. gli atti della Cassa). L'importo fissato dall'Amministrazione merita dunque conferma. 2.16.   Quanto ai redditi, essi comprendono dunque 1/10 della proprietà fondiaria del ricorrente, 2/3 del reddito da attività lucrativa indipendente dell'assicurato, la rendita AVS ed il valore locativo della sua proprietà fondiaria. Il ricorrente sostiene di non svolgere più alcuna attività lucrativa, tanto che dal 1° gennaio 2000 sarebbe in pensione. Inoltre, alcuni problemi di salute gli impedirebbero comunque di arrotondare la succitata rendita AVS lavorando come artista. Nella risposta di causa la Cassa ha evidenziato che anche togliendo dal calcolo della PC l'ammontare di Fr. 28'000.- fissato dall'Ufficio tassazioni quale reddito da attività lucrativa indipendente, i redditi del ricorrente supererebbero ugualmente le spese riconosciute, per cui non sarebbe anche in tale ipotesi possibile concedergli una prestazione complementare. 2.17.   Pendente causa il TCA ha richiamato l'incarto fiscale di __________, da cui risulta che il 27 gennaio 2003 l'Ufficio tassazioni di __________ ha emesso la notifica di tassazione 2001/2002 per cessazione d'attività. Non avendo conseguito in detto biennio alcun reddito da attività lucrativa e risultando una sostanza inferiore al minimo imponibile, il ricorrente è stato esentato dal pagamento delle imposte (doc. _). Ciò stante, s'impone di eliminare dalle tabelle di calcolo PC la voce "reddito da attività lucrativa indipendente non agricola" contemplante l'ammontare di Fr. 28'000.-. Di conseguenza, viene pure a cadere l'importo di Fr. 18'000.- corrispondente ai 2/3 di detto reddito (art. 3c lett. a LPC, cfr. consid. 2.6.), inserito nei redditi dell'interessato. 2.18.   Dalla medesima decisione di tassazione emergono pure il valore di stima della proprietà in cui abita il ricorrente (Fr. 153'193.-), il già citato valore locativo della stessa (Fr. 9'600.-) e Fr. 1'000.- di sostanza per l'automobile, per cui detti importi vanno ripresi come tali per il calcolo delle prestazioni complementari. Da ciò discende che al valore di Fr. 118'193.- della sostanza immobiliare va ancora aggiunto il valore dell'automobile del ricorrente (Fr. 1'000.-), per una sostanza complessiva attiva pari a Fr. 119'193.-. A tale importo devono poi essere detratti il debito ipotecario acceso presso l'__________ (Fr. 10'000.-) e la parte di sostanza non computabile in virtù dell'art. 3c lett. c LPC (Fr. 25'000.-, cfr. consid. 2.6.). Considerato dunque che un decimo di tale sostanza va riportato nei redditi non privilegiati insieme al valore locativo, i redditi del ricorrente assommano quindi a Fr. 37'527.- (Fr. 11'919.- quale 1/10 della sostanza computabile + Fr. 16'008.- di rendita AVS + Fr. 9'600.- per il valore locativo). Alla luce di quanto precede, nel 2001 le spese riconosciute ammontano a Fr. 28'572.- (Fr. 16'880.- quale fabbisogno vitale + Fr. 3'096.- per il contributo fisso della cassa malattia + Fr. 556.- per gli interessi ipotecari + Fr. 2'400.- per le spese di manutenzione del fabbricato + Fr. 5'640.- per la pigione annua lorda) a fronte di un reddito pari a Fr. 37'527.- che supera così le spese riconosciute di Fr. 8'955.-. Nell'anno 2002, eccetto il contributo di Fr. 3'372.- per la cassa malati gli importi precedenti rimangono invariati; pertanto, visto che le spese riconosciute assommano a Fr. 28'848.-, si ha un'eccedenza di reddito di Fr. 8'679.-. 2.19.   In queste circostanze, malgrado l'eliminazione dell'importo relativo al reddito da attività lucrativa indipendente (Fr. 18'000.-), sia per l'anno 2001 che a contare dal 1° gennaio 2002 non v'è comunque spazio per concedere all'assicurato una prestazione complementare. Di conseguenza, il ricorso presentato da __________ deve essere respinto senza carico di spese e di tasse di giustizia e le decisioni impugnate confermate.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