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33.2002.48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https://mcp.opencaselaw.ch/entscheid/ti_gerichte_33.2002.48</w:t>
      </w:r>
    </w:p>
    <w:p>
      <w:r>
        <w:t>FR: TI_GERICHTE 33.2002.48 du 23 mai 2003</w:t>
      </w:r>
    </w:p>
    <w:p>
      <w:r>
        <w:t>IT: TI_GERICHTE 33.2002.48 del 23 maggio 2003</w:t>
      </w:r>
    </w:p>
    <w:p>
      <w:pPr>
        <w:pStyle w:val="Heading2"/>
      </w:pPr>
      <w:r>
        <w:t>Volltext</w:t>
      </w:r>
    </w:p>
    <w:p>
      <w:r>
        <w:t>Incarto n.33.2002.48</w:t>
      </w:r>
    </w:p>
    <w:p>
      <w:r>
        <w:t>tb</w:t>
      </w:r>
    </w:p>
    <w:p>
      <w:r>
        <w:t>Lugano</w:t>
      </w:r>
    </w:p>
    <w:p>
      <w:r>
        <w:t>23 maggio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5 settembre 2002 interposto da</w:t>
      </w:r>
    </w:p>
    <w:p>
      <w:r>
        <w:t>__________</w:t>
      </w:r>
    </w:p>
    <w:p>
      <w:r>
        <w:t>contro</w:t>
      </w:r>
    </w:p>
    <w:p>
      <w:r>
        <w:t>la decisione dell'8 agosto 2002 emanata da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23 settembre 2002 presentata dalla parte convenuta (cfr. Doc. _);</w:t>
      </w:r>
    </w:p>
    <w:p>
      <w:r>
        <w:t>visto lo scritto 23 aprile 2003 con il quale il Tribunale ha informato la parte ricorrente che esistono gli estremi per una reformatio in pejus della decisione contestata (cfr. Doc. _);</w:t>
      </w:r>
    </w:p>
    <w:p>
      <w:r>
        <w:t>rilevato che con lettera 21 maggio 2003 la parte ricorrente ha comunicato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