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33.2002.25 vom 12. April 2002</w:t>
      </w:r>
    </w:p>
    <w:p>
      <w:r>
        <w:t>TI Tribunale d'appello, 2002-04-12, IT</w:t>
      </w:r>
    </w:p>
    <w:p>
      <w:r>
        <w:rPr>
          <w:b/>
        </w:rPr>
        <w:t xml:space="preserve">Quelle: </w:t>
      </w:r>
      <w:r>
        <w:t>https://mcp.opencaselaw.ch/entscheid/ti_gerichte_33.2002.25</w:t>
      </w:r>
    </w:p>
    <w:p>
      <w:r>
        <w:t>FR: TI_GERICHTE 33.2002.25 du 12 avril 2002</w:t>
      </w:r>
    </w:p>
    <w:p>
      <w:r>
        <w:t>IT: TI_GERICHTE 33.2002.25 del 12 aprile 2002</w:t>
      </w:r>
    </w:p>
    <w:p>
      <w:pPr>
        <w:pStyle w:val="Heading2"/>
      </w:pPr>
      <w:r>
        <w:t>Regeste</w:t>
      </w:r>
    </w:p>
    <w:p>
      <w:r>
        <w:t>Sentenza o decisione senza scheda</w:t>
      </w:r>
    </w:p>
    <w:p>
      <w:pPr>
        <w:pStyle w:val="Heading2"/>
      </w:pPr>
      <w:r>
        <w:t>Erwägungen</w:t>
      </w:r>
    </w:p>
    <w:p>
      <w:r>
        <w:rPr>
          <w:b/>
        </w:rPr>
        <w:t>E. 1</w:t>
      </w:r>
    </w:p>
    <w:p>
      <w:r>
        <w:t>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 e alinéa indique comment la répartition doit être opérée. En principe, elle se fera par têtes, et non selon le nombre des pièces occupées ou de m</w:t>
      </w:r>
    </w:p>
    <w:p>
      <w:r>
        <w:rPr>
          <w:b/>
        </w:rPr>
        <w:t>E. 2</w:t>
      </w:r>
    </w:p>
    <w:p>
      <w:r>
        <w:t>. Des dérogations sont possibles, d'où l'utilisation de l'expression "en principe"." La norma citata ha in pratica codificato quanto stabilito in precedenza dalla giurisprudenza federale. Secondo il TFA, infatti, il canone di locazione deve essere suddiviso in parti uguali tra le persone che occupano l'alloggio (RCC 1977 pag. 567; RCC 1974 pag. 512 consid. 2; STCA 11 novembre 1991 in re A.T.; STCA 21 febbraio 1992 in re A.T.), anche nel caso in cui il contratto di locazione è intestato ad una sola persona (ZAK 1974 pag. 556). Lo stesso vale per i figli a beneficio di una prestazione complementare che vivono con i genitori (ZAK 1977 pag. 245). Una deroga a tale principio è concessa solo entro certi limiti e dev’essere ammessa con prudenza, ad esempio se uno degli inquilini occupa da solo gran parte dell’abitazione. Un’eccezione è parimenti ammessa quando una persona accoglie gratuitamente nell’abitazione un’altra, poiché vi è obbligata moralmente o giuridicamente (DTF 105 V 273). In quest’ultimo caso il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274). La summenzionata giurisprudenza è stata ripresa al N. 3023 delle Direttive sulle prestazioni complementari all'AVS e AI (DPC), edite dall'UFAS, laddove è previsto quanto segue: " Se più persone abitano in comune in un appartamento o in una casa unifamiliare, la pigione (comprese le spese accessorie) è suddivisa in parti uguali tra le singole persone e così computata per il calcolo della PC annua. Ciò vale anche per le persone che vivono in concubinato. In casi particolari, ad esempio quando una persona occupa la maggior parte dell'alloggio, si può adottare una ripartizione diversa a seconda delle proporzioni reali (DTF 105 V 271 segg.). Non si tiene conto delle parti della pigione pagate dalle persone che non sono comprese nel calcolo della PC." Da quanto sopra discende che poiché nel caso concreto l'abitazione in questione è occupata da due persone, compreso il ricorrente, a giusta ragione la Cassa ha computato solo metà del canone di locazione a carico dell'assicurato, essendo l'altra metà a carico della convivente __________. Non ricorrono, nel caso concreto, gli estremi di rigore per non procedere ad una divisione della pigione. Tuttavia, essendo mutata la pigione effettiva versata dal ricorrente (doc. _ con allegati), la metà della pigione annua lorda (Fr. 6'000.-) risulta essere pari a Fr. 3'000.- e non a fr. 2'910.-. 2.9.   Resta da analizzare il mancato annovero a titolo di fabbisogno dell'importo di Fr. 8'000.- che è stato invece fiscalmente riconosciuto all'assicurato, e quindi dedotto nella notifica di tassazione 2001/2002, a motivo che egli provvede al sostentamento di __________, la quale – come sopra esposto - vive presso di lui (docc. _). In proposito va rilevato che la lista dei costi computabili ai fini del calcolo della PC, elencati all'art. 3b cpv. 3 LPC (cfr. consid. 2.5.), è esaustiva e che le disposizioni sono di diritto federale imperativo (CARIGIET, Ergänzungsleistungen zur AHV/IV, Zurigo 1995, pag. 135; CARIGIET/KOCH, Ergänzungsleistungen zur AHV/IV, Supplemento, Zurigo 2000, pag. 83). Le spese che non risultano nell'elenco non possono quindi essere ammesse in deduzione. A tutto quanto non è possibile far fronte tramite i costi speciali previsti dalla legge, si deve dunque sopperire tramite l'importo destinato a coprire il fabbisogno minimo (in particolare: vestiti, vitto, mobilio, telefono e tasse telefoniche, acqua, luce, ecc.; cfr. CARIGIET, Ergänzungsleistungen zur AHV/IV, pag. 23 N. 74, in: Schweizerisches Bundesverwaltungsrecht (SBVR), Basilea 1998). Ne consegue che nel caso di specie il costo relativo al sostentamento prestato dal ricorrente alla convivente, bisognosa di aiuto poiché invalida, non può pertanto essere computato quale costo specifico a carico della PC. La richiesta del ricorrente non può così essere accolta. L'importo di Fr. 8'000.- non deve essere considerato come spesa riconosciuta ai sensi dell'art. 3b LPC. Su questo punto la decisione della Cassa va confermata. 2.10.   In queste circostanze, anche modificando nella tabella di calcolo PC impugnata dal ricorrente la voce relativa alla pigione annua lorda portandola da Fr. 2'910.- a Fr. 3'000.- (cfr. consid. 2.8.), l'ammontare dei redditi (Fr. 23'276.-) rimane tuttavia ancora superiore alle spese riconosciute (Fr. 23'252.-), per cui non si può far luogo ad attribuire all'assicurato una PC (art. 3a cpv. 1 LPC, cfr. consid. 2.4.). Ne discende che il ricorso presentato dall'assicurato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