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33.2002.20 vom 13. Mai 2002</w:t>
      </w:r>
    </w:p>
    <w:p>
      <w:r>
        <w:t>TI Tribunale d'appello, 2002-05-13, IT</w:t>
      </w:r>
    </w:p>
    <w:p>
      <w:r>
        <w:rPr>
          <w:b/>
        </w:rPr>
        <w:t xml:space="preserve">Quelle: </w:t>
      </w:r>
      <w:r>
        <w:t>https://mcp.opencaselaw.ch/entscheid/ti_gerichte_33.2002.20</w:t>
      </w:r>
    </w:p>
    <w:p>
      <w:r>
        <w:t>FR: TI_GERICHTE 33.2002.20 du 13 mai 2002</w:t>
      </w:r>
    </w:p>
    <w:p>
      <w:r>
        <w:t>IT: TI_GERICHTE 33.2002.20 del 13 maggio 2002</w:t>
      </w:r>
    </w:p>
    <w:p>
      <w:pPr>
        <w:pStyle w:val="Heading2"/>
      </w:pPr>
      <w:r>
        <w:t>Volltext</w:t>
      </w:r>
    </w:p>
    <w:p>
      <w:r>
        <w:t>Incarto n.33.2002.00020</w:t>
      </w:r>
    </w:p>
    <w:p>
      <w:r>
        <w:t>ir/fz</w:t>
      </w:r>
    </w:p>
    <w:p>
      <w:r>
        <w:t>Lugano</w:t>
      </w:r>
    </w:p>
    <w:p>
      <w:r>
        <w:t>13 maggio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9 aprile 2002 di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13.3.02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12.4.02 con la quale il Tribunale ha assegnato alla parte convenuta il termine di rito per presentare la risposta (II);</w:t>
      </w:r>
    </w:p>
    <w:p>
      <w:r>
        <w:t>vista la lettera 6.5.02 della parte ricorrente che comunica il ritiro del ricorso (V);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