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33.2001.57 vom 22. April 2002</w:t>
      </w:r>
    </w:p>
    <w:p>
      <w:r>
        <w:t>TI Tribunale d'appello, 2002-04-22, IT</w:t>
      </w:r>
    </w:p>
    <w:p>
      <w:r>
        <w:rPr>
          <w:b/>
        </w:rPr>
        <w:t xml:space="preserve">Quelle: </w:t>
      </w:r>
      <w:r>
        <w:t>https://mcp.opencaselaw.ch/entscheid/ti_gerichte_33.2001.57</w:t>
      </w:r>
    </w:p>
    <w:p>
      <w:r>
        <w:t>FR: TI_GERICHTE 33.2001.57 du 22 avril 2002</w:t>
      </w:r>
    </w:p>
    <w:p>
      <w:r>
        <w:t>IT: TI_GERICHTE 33.2001.57 del 22 aprile 2002</w:t>
      </w:r>
    </w:p>
    <w:p>
      <w:pPr>
        <w:pStyle w:val="Heading2"/>
      </w:pPr>
      <w:r>
        <w:t>Regeste</w:t>
      </w:r>
    </w:p>
    <w:p>
      <w:r>
        <w:t>Sentenza o decisione senza scheda</w:t>
      </w:r>
    </w:p>
    <w:p>
      <w:pPr>
        <w:pStyle w:val="Heading2"/>
      </w:pPr>
      <w:r>
        <w:t>Erwägungen</w:t>
      </w:r>
    </w:p>
    <w:p>
      <w:r>
        <w:rPr>
          <w:b/>
        </w:rPr>
        <w:t>E. 36</w:t>
      </w:r>
    </w:p>
    <w:p>
      <w:r>
        <w:t>a favore della ricorrente § Part. n. __________:                                      ha un valore venale pari a CHF 140.- 1/6 x CHF 140.- = CHF 23.- a favore della ricorrente § Part. n. __________:                                      ha un valore venale pari a CHF 6'900.- 1/6 x CHF 6'900.- = CHF 1'150.- a favore della ricorrente § Part. n. __________:                                      ha un valore venale pari a CHF 20'000.- 1/2 x CHF 20'000.- = CHF 10'000.- a favore della ricorrente La sostanza totale di cui dispone la ricorrente ammonta quindi a CHF 181'687.- ed è tale valore che deve essere ritenuto nel calcolo della prestazione complementare. 2.15.   Il reddito della sostanza immobiliare ai sensi dell'art. 3c cpv. 1 lett. b LPC comprende pigioni e canoni d'affitto, usufrutto, diritti d'abitazione nonché il valore locativo della propria abitazione (cfr. Direttive UFAS sulle prestazioni complementari all'AVS e AI (DPC), N. 2092; CARIGIET/KOCH, Ergänzungsleistungen zur AHV/IV, Supplement,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Nel caso concreto, per determinare il valore locativo dell'abitazione in cui la ricorrente viveva insieme alla sorella __________ (part. n. __________RFD di __________), la Cassa ha fatto capo alla decisione di tassazione 1999/2000 di __________ e __________ relativa alle loro quote di partecipazione e di comproprietà sui precitati fondi nel comune di __________ (cfr. documentazione agli atti dell'Amministrazione). A titolo di reddito della sostanza vi è esposto l'importo di CHF 4'800.-. Ritenuto come detto fondo sia detenuto da due persone in comproprietà, il valore locativo da attribuire alla ricorrente deve essere a sua volta dimezzato. Pertanto, correttamente la Cassa ha computato alla ricorrente l'ammontare di CHF 2'400.- (CHF 4'800.- : 2) a titolo di valore locativo. 2.16.   In conclusione la Cassa avrebbe dovuto considerare una sostanza di CHF 181'687.-. Il calcolo della PC della ricorrente per il periodo agosto 2000-dicembre 2000 avrebbe dovuto quindi essere così formulato: Fabbisogno Spese di manutenzione fabbricati                       CHF 600.- Retta per degenti in istituti                                    CHF           27'375.- Spese personali                                                    CHF 3'600.- Contributo fisso assicurazione malattia              CHF 2'976.- TOTALE FABBISOGNO CHF           34'551.- Sostanza Comunioni ereditarie al valore commerciale     CHF         181'687.- Sostanza netta                                                       CHF         181'687.- Parte della sostanza non computabile                CHF 25'000.- SOSTANZA COMPUTABILE CHF         156'687.- Reddito non privilegiato Sostanza computabile 1/10                                 CHF           15'668.- Rendite AVS e AI, senza AGI                              CHF           18'336.- Reddito lordo della proprietà fondiaria               CHF 2'400.- TOTALE REDDITI CHF           36'404.- PC annua: CHF 34'551.-  -  CHF 36'404.-  =    CHF 0.0 Per l'anno 2001 il contributo fisso per l'assicurazione malattia ammonta a CHF 3'096, per cui si ha un totale delle spese riconosciute pari a CHF 34'671.-. Quanto ai redditi, tenuto conto dell'aumento della rendita AVS (CHF 18'792.-), essi assommano a CHF 36'860.-. Ne discende dunque che anche per questo periodo non v'è spazio per concedere alla ricorrente una prestazione complementare, giacché i redditi superano le spese riconosciute. 2.17.   L'insorgente con il gravame chiede l'assunzione di ulteriori prove (doc. _, doc. _ e doc. _: esperire un sopralluogo ed allestire una perizia giudiziaria neutrale).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DTF 124 V 94 consid. 4b, 122 V 162 consid. 1d, 119 V 344 consid. 3c e riferimenti). In concreto, questo Tribunale ritiene la fattispecie sufficientemente chiarita dall’esame dei documenti agli atti, per cui rinuncia all'assunzione di ulteriori prove. In particolare, sia l'allegato F (perizia __________) che le tre descrizioni peritali dell'Ufficio stima - istituto indipendente da questo TCA - permettono una sufficiente conoscenza dei luoghi tale da rendere superfluo un sopralluogo. Lo stesso dicasi in merito all'allestimento di un'ulteriore perizia: i tre dettagliati referti peritali dell'Ufficio stima sono stati redatti, come già evidenziato, con piena ed oggettiva cognizione di causa e sono esaurienti.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