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33.2001.50 vom 24. April 2001</w:t>
      </w:r>
    </w:p>
    <w:p>
      <w:r>
        <w:t>TI Tribunale d'appello, 2001-04-24, IT</w:t>
      </w:r>
    </w:p>
    <w:p>
      <w:r>
        <w:rPr>
          <w:b/>
        </w:rPr>
        <w:t xml:space="preserve">Quelle: </w:t>
      </w:r>
      <w:r>
        <w:t>https://mcp.opencaselaw.ch/entscheid/ti_gerichte_33.2001.50</w:t>
      </w:r>
    </w:p>
    <w:p>
      <w:r>
        <w:t>FR: TI_GERICHTE 33.2001.50 du 24 avril 2001</w:t>
      </w:r>
    </w:p>
    <w:p>
      <w:r>
        <w:t>IT: TI_GERICHTE 33.2001.50 del 24 aprile 2001</w:t>
      </w:r>
    </w:p>
    <w:p>
      <w:pPr>
        <w:pStyle w:val="Heading2"/>
      </w:pPr>
      <w:r>
        <w:t>Regeste</w:t>
      </w:r>
    </w:p>
    <w:p>
      <w:r>
        <w:t>Sentenza o decisione senza scheda</w:t>
      </w:r>
    </w:p>
    <w:p>
      <w:pPr>
        <w:pStyle w:val="Heading2"/>
      </w:pPr>
      <w:r>
        <w:t>Volltext</w:t>
      </w:r>
    </w:p>
    <w:p>
      <w:r>
        <w:t>Tessin Tribunale cantonale delle assicurazioni 29.04.2002 33.2001.50 Tessin Tribunale cantonale delle assicurazioni 29.04.2002 33.2001.50 Ticino Tribunale cantonale delle assicurazioni 29.04.2002 33.2001.50</w:t>
      </w:r>
    </w:p>
    <w:p>
      <w:r>
        <w:t>Sentenza o decisione senza scheda</w:t>
      </w:r>
    </w:p>
    <w:p>
      <w:r>
        <w:t>RACCOMANDATA Incarto n. 33.2001.00050 TB Lugano 29 aprile 2002 In nome della Repubblica e Cantone del Ticino Il Tribunale cantonale delle assicurazioni composto dei giudici: Daniele Cattaneo, presidente, Raffaele Guffi, Ivano Ranzanici redattrice: Tanja Balmelli segretario: Fabio Zocchetti statuendo sul ricorso del 18 maggio 2001 di __________ , rappr. da: __________, rappr. da: avv. __________, contro la decisione del 24 aprile 2001 emanata da Cassa cant. di compensazione, 6501 Bellinzona 1 Caselle, in materia di prestazioni complementari ritenuto, in fatto 1.1.   Con decisione 24 aprile 2001 la Cassa di compensazione di Bellinzona ha fissato la prestazione complementare a favore della ricorrente in CHF 705.- mensili con effetto dal 1° maggio 2001, contro i precedenti CHF 1'520.- concessile a partire dal 1° gennaio 2001. 1.2.   Con ricorso 18 maggio 2001 (doc. _) interposto per il tramite dell'avv. __________ la ricorrente contesta l'ammontare del valore venale della part. __________RFD di __________ computatole a titolo di sostanza e chiede di ripristinare la precedente PC di CHF 1'520.- al mese. 1.3.   Con risposta 13 giugno 2001 (doc. _) la Cassa ha proposto la reiezione del gravame, computando alla ricorrente – detentrice insieme al fratello __________ di una quota di partecipazione di metà alla comunione ereditaria fu __________ - a titolo di sostanza immobiliare CHF 125'000.-. Tale importo scaturisce dal valore corrente del citato fondo (CHF 250'000.-) determinato dall'Ufficio stima con perizia 6 aprile 2001 (doc. _). 1.4.   Invitata a produrre ulteriori mezzi di prova (doc. _), la ricorrente, per il tramite del suo patrocinatore, ha prodotto in data 5 luglio 2001 una perizia fatta allestire dall'ing. __________ e su tale base ha affermato che " (…) Dal referto emergono due importanti conclusioni: -   la prima è che la valutazione globale (fr. 250'000.-) non è realizzabile perché in gioco c'è esclusivamente la quota parte della ricorrente e non tutta la particella, della quale è comproprietario, in ragione di ½ (dopo la morte della madre), il fratello __________. -   La seconda osservazione è che nessuno sarebbe disposto ad acquistare la quota di ½. Sia chiaro anche che il fratello __________ non ha i mezzi, anche se volesse, per acquistare. Ne scende, come afferma il perito __________, che " il valore venale dell'oggetto deve essere ridimensionato ". E', questa, la domanda della ricorrente, la quale conferma che la stima è esagerata sia per la qualità dell'immobile sia per la sua caratteristica e soprattutto per il fatto che da discutere c'è esclusivamente la quota parte della ricorrente. Di conseguenza, il calcolo operato dalla parte convenuta non può essere protetto perché non tiene conto di questi importanti fattori. L'IAS si è infatti limitato a prendere sic et simpliciter il valore indicato dall'ufficio cantonale senza considerare altro. E' di contro lecito ritenere che il valore precedentemente considerato (fr. 22'313.-) possa essere mantenuto, per cui alla ricorrente va erogata una rendita complementare nella misura in cui era percepita prima della nuova stima." (…) (doc. _) 1.5.   A richiesta dell'Amministrazione (doc. _), l'Ufficio stima si è pronunciato sulla perizia di parte (doc. _), confermando integralmente il contenuto del proprio referto peritale 6 aprile 2001 (docc. _ e _). Conseguentemente, in data 27 luglio 2001 la Cassa ha ribadito la sua risposta di causa 13 giugno 2001 (doc. _). 1.6.   Con scritto 8 agosto 2001 (doc. _) l'avv. __________ ha contestato alcuni punti delle osservazioni rese dall'Ufficio stima, concludendo che la citata stima del fondo n. __________RFD di __________ sarebbe puramente teorica e non troverebbe riscontro nella realtà. in diritto 2.1.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2.2.   Per l’art. 2a lett. a LPC hanno diritto alle prestazioni complementari giusta l’articolo 2 LPC le persone che ricevono una rendita di vecchiaia dell'AVS. 2.3.   Secondo l’art. 3a cpv. 1 LPC, " L'importo della prestazione complementare annua deve corrispondere alla differenza tra l'eccedenza delle spese riconosciute e i redditi determinanti." 2.4.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In concreto, a far tempo dal 5 dicembre 1997 (cfr. la documentazione agli atti dell'Amministrazione) la ricorrente è degente in modo definitivo presso la Casa per persone anziane di __________.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computato alla ricorrente a giusta ragione per l'anno 2001 l’importo totale di CHF 27'375.- (CHF 75.- x 365 giorni). A tale ammontare sono stati aggiunti CHF 3'600.- (CHF 300.- mensili x 12 mesi) a titolo di spese personali per gli assicurati, come pure il contributo fisso per l'assicurazione malattia (CHF 3'096.-). 2.7.   Con il suo gravame la ricorrente censura la valutazione della part. n. __________RFD di __________ esperita dall'Ufficio stima. L'assicurata lamenta infatti che il referto peritale 6 aprile 2001 giunga ad un valore venale eccessivo relativamente alla sua quota di partecipazione alla comunione ereditaria fu __________ (CHF 125'000.-). Per l’art. 3c cpv. 7 lett. b LPC, il Consiglio federale disciplina la valutazione dei redditi determinanti, delle spese riconosciute, nonché della sostanza. Giusta l’art. 17 cpv. 4 OPC-AVS/AI,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l’assicurata è degente presso la casa per anziani di __________ a far tempo dal 5 dicembre 1997 (cfr. documentazione agli atti dell'Amministrazione), l’immobile posseduto in comunione ereditaria (part. n. __________ RFD di __________) non le serve da abitazione primaria. Correttamente, quindi, la Cassa di compensazione ne ha computato il valore venale. 2.8.   Per determinare il valore commerciale dell'immobile l’Amministrazione deve far esperire una perizia da parte d'un ufficio competente. Il TCA ha infatti dichiarato illegale la precedente prassi della Cassa che consisteva nell’aumentare sistematicamente del 30% il valore di stima ufficiale. Applicando questo metodo, nel caso di nuove stime il valore risultante poteva risultare superiore a quello corrente (RDAT II-1995 pagg. 203 segg.). Secondo la giurisprudenza del Tribunale federale delle assicurazioni (TFA),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2.9.   Con perizia immobiliare 6 aprile 2001 (doc. _), l’Ufficio stima ha fissato in CHF 250'000.- il valore venale complessivo del fondo part. n. __________RFD di __________, rispettivamente in CHF 125'000.- l'importo imputabile all'assicurata, ritenuto come quest'ultima benefici di una quota di metà su tale immobile. Con il gravame l'assicurata sostiene che la proprietà in questione sia stata sopravvalutata in modo tanto evidente quanto inammissibile. L'edificio risale almeno ad inizio del secolo scorso e da allora non vi è stato eseguito alcun rinnovamento, se non la realizzazione del gabinetto/bagno verso il 1930. Inoltre, l'abitazione ha serramenti semplici, camere esigue ed è priva di riscaldamento; il tetto è interamente da rifare e sia lo stato di vetustà che di precarietà dell'immobile sono alquanto evidenti. La ricorrente ha prodotto una perizia 29 giugno 2001 allestita dall'arch. __________, il quale ritiene globalmente accettabile il risultato a cui è giunto l'Ufficio cantonale di stima in caso di realizzo dell'intero immobile. A mente della ricorrente il valore venale di CHF 125'000.- per la sua quota sarebbe impossibile da realizzare in caso di vendita della sua parte di comproprietà di un mezzo. Il valore del fondo dovrebbe quindi essere ridotto, poiché la comproprietà diminuirebbe sia l'attrattività nei confronti di un acquirente sia il valore stesso della sua quota di partecipazione. Pendente causa, viste le censure ricorsuali l’Ufficio stima, chiamato dalla Cassa a prendere posizione in merito, ha provveduto ad una nuova valutazione dell'immobile ed ha riconfermato integralmente la propria precedente perizia, osservando in particolare che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accessi, le servitù, nonché quei fattori positivi o negativi che incidano sul valore commerciale. Dal riesame delle valutazioni contenute nella nostra perizia, riteniamo che non vi siano nuovi elementi che non siano già stati considerati dal perito incaricato di allestire la valutazione. Per quanto riguarda l'esistenza di una comunione ereditaria, a nostro parere riteniamo che la stessa non influenzi il valore venale di un fondo. Nel Codice Civile Svizzero, sono indicate le disposizioni che regolano i rapporti di comproprietà (diritti e obblighi), che tra l'altro prevedono la possibilità di disporre come un proprietario e il diritto di chiedere la cessazione della comproprietà. Pertanto sulla base dei considerandi sopraccitati riteniamo di dover confermare in tutto il suo aspetto la nostra perizia immobiliare." (…) (doc. _). 2.10.   In proposito va rilevato che, secondo costante giurisprudenza federale, le perizie mediche eseguite nell’ambito della procedura amministrativa da medici specializzati riconosciuti, hanno forza prrobatoria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 dicembre 1993 in re S. H; LOCHER, Grundriss des Sozialversicherungsrechts, Berna 1994, pag. 332). Lo stesso vale per quel che riguarda perizie dell’amministrazione presso medici esterni (DTF 104 V 31; ZAK 1986 pag. 188; RAMI 1993 pag. 95). Questa giurisprudenza del TFA deve valere per tutte le perizie (cfr. ad esempio per la previdenza professionale: SVR 1998 LPP n. 16), e quindi deve essere applicata anche per quelle esperite in ambito immobiliare (STCA del 24 febbraio 1997 in re L.M.). 2.11.   Le critiche mosse dalla ricorrente all'importo della sostanza immobiliare riportata nell'impugnata tabella di calcolo PC (cfr. consid. 2.10.) si riferiscono – come detto - alla valutazione dell'Ufficio stima fornita alla Cassa. Dette censure non trovano tuttavia conferma nel dettagliato referto peritale 6 aprile 2001 dell'Ufficio stima (doc. _). Gli esperti incaricati dall'amministrazione di procedere all'esame del fondo in questione hanno evidenziato che lo stesso – comunque ben dimensionato: mq 843 - si trova su un terreno pianeggiante che dispone di infrastrutture primarie quali l'acqua, la corrente elettrica ed il telefono ed è sito nella zona nucleo vecchio del PR, la quale è abbastanza tranquilla e gode di un buon orientamento. Per l'abitazione (sub. A), di antica data, l'ing. __________ ha giudicato sufficiente la conservazione esterna, carente lo stato interno, necessitante di una pulizia radicale al fine di renderla abitabile, mentre modeste sono state valutate le rifiniture. Quanto al sub. B (l'ex pollaio), lo stesso è stato ampiamente considerato negativamente da parte dell'Ufficio stima: è stato definito un rudere in pessimo stato di conservazione (analogamente all'ex porcile, sub. D). L'autorimessa e la cantina (sub. C ed H), anch'esse di antica data, sono state definite modeste per le rifiniture e carenti per la conservazione, mentre la piccola legnaia ed il deposito per la legnaia (sub. F e G) presentavano uno stato di conservazione sufficiente con rifiniture modeste. Oltre a tale descrizione formulata nel citato referto peritale impugnato dalla ricorrente, questa Corte evidenzia peraltro come i summenzionati difetti siano stati pure messi in risalto dalle fotografie prodotte dall'assicurata medesima (docc. _ e _). Indubbiamente, dunque, la perizia 6 aprile 2001 ha tenuto in considerazione le critiche ricorsuali. Il referto dell'Ufficio stima deve essere qui condiviso siccome le generiche critiche della ricorrente sono state considerate nella valutazione. D'altra parte lo stesso perito di parte ha condiviso la perizia dell'Ufficio stima (allegato _). Questo TCA non ha quindi motivo per scostarsi dalla valutazione dell'amministrazione poiché fondata su criteri di valutazione condivisi nel settore e ponderatamente valutati. 2.12.   La ricorrente sostiene, da ultimo, che il valore venale della sua quota di partecipazione di un mezzo sulla part. n. __________RFD di __________ sarebbe inferiore a quello individuato dalla Cassa per il tramite dell'Ufficio stima, poiché, come tale, la sua sola quota sarebbe di difficile realizzazione e pertanto varrebbe senza alcun dubbio meno della metà dell'intero valore stabilito dai tecnici. Il valore venale o valore reale (valeur vénale, Verkehrswert) di un immobile è il valore di vendita suscettibile di essere ottenuto nel quadro di una normale transazione. Il Tribunale federale delle assicurazioni ha stabilito che questo principio è pure applicabile al prezzo pagato per dei fondi agricoli secondo le leggi di mercato (Pratique VSI 1994 pag. 194). Inoltre, il TFA ha sentenziato che il valore che raggiunge un immobile nel corso di normali transazioni commerciali è in genere più elevato del valore fiscale (RCC 1991 pag. 424). Come elencato dall'Ufficio stima nelle proprie osservazioni 25 luglio 2001 alla perizia di parte (doc. _), vari sono i fattori che possono influenzare l'immobile da valutare e che vengono di volta in volta tenuti in considerazione ai fini della determinazione del corrispettivo valore venale. Oltre a degli elementi oggettivi relativi all'ubicazione del fondo, agli usi vigenti nella località in questione ed alla costruzione stessa, vi sono in particolare degli elementi di carattere giuridico che tornano applicabili (cfr. consid. 2.10. lett. e), come i diritti o gli oneri a favore rispettivamente a carico di una particella. Fra di essi si segnalano: le servitù prediali (artt. 730 segg. CC) quali il diritto di passo pedonale e/o veicolare, il diritto di passaggio di una condotta di un terzo, la restrizione del diritto di costruire, la limitazione in altezza degli edifici e/o delle piantagioni, ecc.; od ancora servitù personali quali l'usufrutto (artt. 745 segg. CC), il diritto d'abitazione (artt. 776 segg. CC), il diritto di superficie (artt. 779 segg. CC) ed il diritto sulle sorgenti (art. 780 CC). Nel caso di specie, come risulta dall'estratto RF agli atti (doc. _), sulla particella in questione figurano un diritto di passo veicolare a carico della part. n. __________, un diritto d'apertura a carico rispettivamente un onere a favore della medesima part. n. __________. L'onere d'abitazione vita natural durante a favore di __________ non ha più alcun valore poiché la beneficiaria è deceduta nel 1998. Pertanto, a carico del fondo in discussione non v'è alcun onere giuridico rilevante che sia atto effettivamente a diminuirne il valore venale. La forma della proprietà di un immobile non incide sulla definizione del suo valore venale non essendo un elemento atto ad aumentarne o diminuirne il valore intrinseco. Eventuali difficoltà di realizzazione di un fondo - od anche facilitazioni - dovute all'esistenza di una comunione di proprietarî o una comproprietà non debbono essere considerati nella valutazione. Ne consegue che la situazione nella quale si trova la ricorrente nulla muta ai fini della fissazione del valore venale della sua quota di partecipazione di metà del fondo e pertanto detta circostanza non può essere validamente tenuta in considerazione. Alla luce di quanto precede questo TCA non ha motivo di ritenere che le perizie esperite dall’Ufficio stima siano inaffidabili: in effetti non vi sono elementi contraddittori agli atti. Di conseguenza, poiché le perizie si fondano su accertamenti approfonditi, esperiti da specialisti nel ramo e la liceità delle perizie dell’Ufficio stima è già stata verificata da questa Corte e dal TFA, il valore venale del fondo in questione, stabilito in CHF 250'000.-, rispettivamente in CHF 125'000.- per la quota di partecipazione della ricorrente, va considerato corretto e può essere posto alla base della presente sentenza (cfr. summenzionata STFA del 27 febbraio 1998, ibidem). 2.13.   L'insorgente con il gravame, chiede l'assunzione di ulteriori prove (doc. _: esperire un sopralluogo).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ritiene la fattispecie sufficientemente chiarita dall’esame dei documenti agli atti, per cui rinuncia all'assunzione di ulteriori prove. In particolare con il gravame e con l'allegato _ (perizia __________) sono state prodotte fotografie che permettono una conoscenze dei luoghi sufficiente, in particolare se affiancate alle descrizioni peritali, tale da rendere superfluo un sopralluogo. 2.14.   Il ricorso va quindi respinto e l'importo di CHF 705.- al mese fissato dall'Amministrazione a favore della ricorrente deve essere confermato a titolo di prestazione complementare.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