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33.2001.34 vom 5. November 2001</w:t>
      </w:r>
    </w:p>
    <w:p>
      <w:r>
        <w:t>TI Tribunale d'appello, 2001-11-05, IT</w:t>
      </w:r>
    </w:p>
    <w:p>
      <w:r>
        <w:rPr>
          <w:b/>
        </w:rPr>
        <w:t xml:space="preserve">Quelle: </w:t>
      </w:r>
      <w:r>
        <w:t>https://mcp.opencaselaw.ch/entscheid/ti_gerichte_33.2001.34</w:t>
      </w:r>
    </w:p>
    <w:p>
      <w:r>
        <w:t>FR: TI_GERICHTE 33.2001.34 du 5 novembre 2001</w:t>
      </w:r>
    </w:p>
    <w:p>
      <w:r>
        <w:t>IT: TI_GERICHTE 33.2001.34 del 5 novembre 2001</w:t>
      </w:r>
    </w:p>
    <w:p>
      <w:pPr>
        <w:pStyle w:val="Heading2"/>
      </w:pPr>
      <w:r>
        <w:t>Regeste</w:t>
      </w:r>
    </w:p>
    <w:p>
      <w:r>
        <w:t>Sentenza o decisione senza scheda</w:t>
      </w:r>
    </w:p>
    <w:p>
      <w:pPr>
        <w:pStyle w:val="Heading2"/>
      </w:pPr>
      <w:r>
        <w:t>Erwägungen</w:t>
      </w:r>
    </w:p>
    <w:p>
      <w:r>
        <w:rPr>
          <w:b/>
        </w:rPr>
        <w:t>E. 34</w:t>
      </w:r>
    </w:p>
    <w:p>
      <w:r>
        <w:t>quater vCF (RCC 1992 p. 346), corrispondente all'art. 112 della nuova CF.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reddito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2.3.   Per l’art. 2a lett. a LPC hanno diritto alle prestazioni complementari giusta l’articolo 2 le persone che, tra l’altro, ricevono una rendita di vecchiaia dell’AVS. 2.4.   Secondo l’art. 3a LPC (cfr. anche art. 2 LPC) " L'importo della prestazione complementare annua deve corrispondere alla differenza tra l'eccedenza delle spese riconosciute e i redditi determinanti (cpv. 1)." Per quanto attiene alle spese riconosciute l’art. 3b LPC prevede che: " Per le persone che vivono durevolmente o per un lungo periodo in un istituto o in un ospedale (persone che vivono in un istituto), le spese riconosciute sono le seguenti: a. tassa giornaliera; b. importo per le spese personali (cpv. 2)." A norma dell’art. 3c cpv. 1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2.5.   Oggetto del contendere è l’importo di fr. 27'375.— computato dalla cassa a titolo di retta per degenti in istituti (Pos. 57, doc. _). Con il ricorso l’assicurata censura questa modalità di calcolo e sostiene che, ai fini della PC, nel suo fabbisogno vitale andrebbe considerato l’importo effettivamente pagato alla casa per anziani __________, ossia fr. 110.— mensili (cfr. consid. 1.2.). A sostegno della propria tesi ricorsuale, ella adduce che tale degenza, tra l’altro, si è resa necessaria per la mancanza di posti letto in istituti convenzionati (doc. _). Per l'art. 5 cpv. 3 lett. a LPC " i cantoni possono limitare le spese prese in considerazione a causa del soggiorno in un istituto o in un ospedale." Giusta l'art. 2 del Decreto esecutivo cantonale concernente la LPC all'AVS/AI del 18 novembre 1998, " La retta giornaliera massima computabile per il calcolo della prestazione complementare degli assicurati che sono ospiti permanenti o per periodo di lunga durata in case per anziani o di cura è di fr. 75." Questo importo è tuttora invariato (cfr. Decreto esecutivo concernente la legge federale sulle prestazioni complementari all'AVS e all'AI del 6 dicembre 2000). In proposito va rilevato che i costi degli istituti di cura variano da casa a casa. Gli istituti privati di livello elevato pretendono ad esempio tasse alte, che non possono né devono venire finanziate dalle prestazioni complementari. Per questo motivo il legislatore federale ha autorizzato il Cantone a limitare i costi. Di questa possibilità hanno praticamente fatto uso tutti i Cantoni. (Carigiet/Koch, supplement, p. 114; cfr. per una panoramica relativa alle tasse dei diversi cantoni, AHI praxis 1999 p. 67ss; cfr. pure STCA del 19 febbraio 2001 nella causa H.M.). All'assicurato viene pure conteggiato un importo per le spese personali per beneficiari dell'AVS di fr. 300 mensili (art. 4 lett. a del decreto, art. 5 cpv. 1 lett. c LPC). 2.6.   Alla luce di quanto precede non si può considerare l'importo della pensione effettivamente pagato dall'assicurata, bensì quello previsto dal Cantone nell'ambito del potere di apprezzamento concessogli dall'art. 5 LPC. In simili condizioni, il ricorso di __________ va respinto mentre le decisioni della Cassa, in quanto corrette, vanno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